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July 27, 2021</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4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WESTWOOD HOLDINGS GROUP, INC.</w:t>
      </w:r>
    </w:p>
    <w:p>
      <w:pPr>
        <w:spacing w:after="0" w:line="3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ectPr>
          <w:pgSz w:w="11900" w:h="16838" w:orient="portrait"/>
          <w:cols w:equalWidth="0" w:num="1">
            <w:col w:w="11040"/>
          </w:cols>
          <w:pgMar w:left="320" w:top="1043" w:right="539" w:bottom="1440" w:gutter="0" w:footer="0" w:header="0"/>
        </w:sectPr>
      </w:pPr>
    </w:p>
    <w:p>
      <w:pPr>
        <w:spacing w:after="0" w:line="301"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001-31234</w:t>
      </w:r>
    </w:p>
    <w:p>
      <w:pPr>
        <w:spacing w:after="0" w:line="23"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75-2969997</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880" w:space="720"/>
            <w:col w:w="2820" w:space="720"/>
            <w:col w:w="2900"/>
          </w:cols>
          <w:pgMar w:left="320" w:top="1043" w:right="539" w:bottom="144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34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200 Crescent Court, Suite 1200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(214) 756-6900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040"/>
          </w:cols>
          <w:pgMar w:left="320" w:top="1043" w:right="539" w:bottom="1440" w:gutter="0" w:footer="0" w:header="0"/>
          <w:type w:val="continuous"/>
        </w:sectPr>
      </w:pPr>
    </w:p>
    <w:p>
      <w:pPr>
        <w:spacing w:after="0" w:line="274" w:lineRule="exact"/>
        <w:rPr>
          <w:sz w:val="24"/>
          <w:szCs w:val="24"/>
          <w:color w:val="auto"/>
        </w:rPr>
      </w:pPr>
    </w:p>
    <w:p>
      <w:pPr>
        <w:ind w:right="300" w:firstLine="1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180" w:type="dxa"/>
            <w:vAlign w:val="bottom"/>
            <w:gridSpan w:val="5"/>
          </w:tcPr>
          <w:p>
            <w:pPr>
              <w:jc w:val="center"/>
              <w:ind w:right="315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08"/>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Trading Symbol(s)</w:t>
            </w:r>
          </w:p>
        </w:tc>
        <w:tc>
          <w:tcPr>
            <w:tcW w:w="39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ind w:right="360"/>
        <w:spacing w:after="0" w:line="293" w:lineRule="auto"/>
        <w:rPr>
          <w:sz w:val="20"/>
          <w:szCs w:val="20"/>
          <w:color w:val="auto"/>
        </w:rPr>
      </w:pPr>
      <w:r>
        <w:rPr>
          <w:rFonts w:ascii="Arial" w:cs="Arial" w:eastAsia="Arial" w:hAnsi="Arial"/>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0" w:lineRule="exact"/>
        <w:rPr>
          <w:sz w:val="24"/>
          <w:szCs w:val="24"/>
          <w:color w:val="auto"/>
        </w:rPr>
      </w:pPr>
    </w:p>
    <w:p>
      <w:pPr>
        <w:spacing w:after="0" w:line="236"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43" w:right="5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24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On July 27, 2021, Westwood Holdings Group, Inc. (“Westwood”) announced its financial results for the quarter ended June 30, 2021, a copy of which is furnished with this Current Report on Form 8-K as Exhibit 99.1.</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83"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7.01:</w:t>
      </w:r>
      <w:r>
        <w:rPr>
          <w:sz w:val="20"/>
          <w:szCs w:val="20"/>
          <w:color w:val="auto"/>
        </w:rPr>
        <w:tab/>
      </w:r>
      <w:r>
        <w:rPr>
          <w:rFonts w:ascii="Arial" w:cs="Arial" w:eastAsia="Arial" w:hAnsi="Arial"/>
          <w:sz w:val="18"/>
          <w:szCs w:val="18"/>
          <w:color w:val="auto"/>
        </w:rPr>
        <w:t>REGULATION FD DISCLOSURE</w:t>
      </w:r>
    </w:p>
    <w:p>
      <w:pPr>
        <w:spacing w:after="0" w:line="108"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Westwood announced today that its Board of Directors has approved the payment of a quarterly cash dividend of $0.10 per common share, payable on October 1, 2021 to stockholders of record on September 3, 2021.</w:t>
      </w:r>
    </w:p>
    <w:p>
      <w:pPr>
        <w:spacing w:after="0" w:line="69"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Westwood announced today that its Board of Directors has approved the payment of a special cash dividend of $2.50 per common share, payable on August 20, 2021 to stockholders of record on August 6, 2021.</w:t>
      </w:r>
    </w:p>
    <w:p>
      <w:pPr>
        <w:spacing w:after="0" w:line="204"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24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 The following exhibit is furnished with this report:</w:t>
      </w:r>
    </w:p>
    <w:p>
      <w:pPr>
        <w:spacing w:after="0" w:line="243"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Exhibit Number</w:t>
      </w:r>
      <w:r>
        <w:rPr>
          <w:sz w:val="20"/>
          <w:szCs w:val="20"/>
          <w:color w:val="auto"/>
        </w:rPr>
        <w:tab/>
      </w:r>
      <w:r>
        <w:rPr>
          <w:rFonts w:ascii="Arial" w:cs="Arial" w:eastAsia="Arial" w:hAnsi="Arial"/>
          <w:sz w:val="18"/>
          <w:szCs w:val="18"/>
          <w:color w:val="auto"/>
        </w:rPr>
        <w:t>Description</w:t>
      </w:r>
    </w:p>
    <w:p>
      <w:pPr>
        <w:spacing w:after="0" w:line="243" w:lineRule="exact"/>
        <w:rPr>
          <w:sz w:val="20"/>
          <w:szCs w:val="20"/>
          <w:color w:val="auto"/>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20"/>
          <w:szCs w:val="20"/>
          <w:color w:val="auto"/>
        </w:rPr>
        <w:t>99.1</w:t>
      </w:r>
      <w:r>
        <w:rPr>
          <w:sz w:val="20"/>
          <w:szCs w:val="20"/>
          <w:color w:val="auto"/>
        </w:rPr>
        <w:tab/>
      </w:r>
      <w:hyperlink w:anchor="page4">
        <w:r>
          <w:rPr>
            <w:rFonts w:ascii="Arial" w:cs="Arial" w:eastAsia="Arial" w:hAnsi="Arial"/>
            <w:sz w:val="16"/>
            <w:szCs w:val="16"/>
            <w:u w:val="single" w:color="auto"/>
            <w:color w:val="0000FF"/>
          </w:rPr>
          <w:t>Press Release Dated July 27, 2021</w:t>
        </w:r>
      </w:hyperlink>
    </w:p>
    <w:p>
      <w:pPr>
        <w:spacing w:after="0" w:line="16"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1470660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2"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color w:val="auto"/>
        </w:rPr>
        <w:t>SIGNATURES</w:t>
      </w:r>
    </w:p>
    <w:p>
      <w:pPr>
        <w:spacing w:after="0" w:line="243" w:lineRule="exact"/>
        <w:rPr>
          <w:sz w:val="20"/>
          <w:szCs w:val="20"/>
          <w:color w:val="auto"/>
        </w:rPr>
      </w:pPr>
    </w:p>
    <w:p>
      <w:pPr>
        <w:ind w:firstLine="19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July 27, 2021</w:t>
      </w:r>
    </w:p>
    <w:p>
      <w:pPr>
        <w:spacing w:after="0" w:line="200" w:lineRule="exact"/>
        <w:rPr>
          <w:sz w:val="20"/>
          <w:szCs w:val="20"/>
          <w:color w:val="auto"/>
        </w:rPr>
      </w:pPr>
    </w:p>
    <w:p>
      <w:pPr>
        <w:spacing w:after="0" w:line="315" w:lineRule="exact"/>
        <w:rPr>
          <w:sz w:val="20"/>
          <w:szCs w:val="20"/>
          <w:color w:val="auto"/>
        </w:rPr>
      </w:pPr>
    </w:p>
    <w:p>
      <w:pPr>
        <w:ind w:left="7960"/>
        <w:spacing w:after="0"/>
        <w:rPr>
          <w:sz w:val="20"/>
          <w:szCs w:val="20"/>
          <w:color w:val="auto"/>
        </w:rPr>
      </w:pPr>
      <w:r>
        <w:rPr>
          <w:rFonts w:ascii="Arial" w:cs="Arial" w:eastAsia="Arial" w:hAnsi="Arial"/>
          <w:sz w:val="17"/>
          <w:szCs w:val="17"/>
          <w:color w:val="auto"/>
        </w:rPr>
        <w:t>WESTWOOD HOLDINGS GROUP, INC.</w:t>
      </w:r>
    </w:p>
    <w:p>
      <w:pPr>
        <w:spacing w:after="0" w:line="200" w:lineRule="exact"/>
        <w:rPr>
          <w:sz w:val="20"/>
          <w:szCs w:val="20"/>
          <w:color w:val="auto"/>
        </w:rPr>
      </w:pPr>
    </w:p>
    <w:p>
      <w:pPr>
        <w:spacing w:after="0" w:line="37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20"/>
          </w:cols>
          <w:pgMar w:left="320" w:top="892"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732155</wp:posOffset>
            </wp:positionV>
            <wp:extent cx="227139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713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Holdings Group, Inc. Reports Second Quarter 2021 Results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Westwood's Best Sales Quarter Since 2016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Strong Performance Across Multiple Asset Strategies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Regular Dividend of $0.10 Per Share Declared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Dividend of $2.50 Per Share Declared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Dallas, TX, July 27, 2021 – Westwood Holdings Group, Inc. (NYSE: WHG) today reported second quarter 2021 earnings.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Significant items include:</w:t>
      </w:r>
    </w:p>
    <w:p>
      <w:pPr>
        <w:spacing w:after="0" w:line="17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Revenues of $17.5 million vs. the first quarter's $18.3 million and $15.9 million a year ago.</w:t>
      </w:r>
    </w:p>
    <w:p>
      <w:pPr>
        <w:spacing w:after="0" w:line="111" w:lineRule="exact"/>
        <w:rPr>
          <w:rFonts w:ascii="Arial" w:cs="Arial" w:eastAsia="Arial" w:hAnsi="Arial"/>
          <w:sz w:val="22"/>
          <w:szCs w:val="22"/>
          <w:color w:val="auto"/>
        </w:rPr>
      </w:pPr>
    </w:p>
    <w:p>
      <w:pPr>
        <w:ind w:left="660" w:right="34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Net income of $1.0 million vs. the first quarter's $4.1 million, which included net realized and unrealized gains of $6.0 million on private investments, and vs. a $2.6 million net loss in last year's second quarter.</w:t>
      </w:r>
    </w:p>
    <w:p>
      <w:pPr>
        <w:spacing w:after="0" w:line="66" w:lineRule="exact"/>
        <w:rPr>
          <w:rFonts w:ascii="Arial" w:cs="Arial" w:eastAsia="Arial" w:hAnsi="Arial"/>
          <w:sz w:val="22"/>
          <w:szCs w:val="22"/>
          <w:color w:val="auto"/>
        </w:rPr>
      </w:pPr>
    </w:p>
    <w:p>
      <w:pPr>
        <w:ind w:left="660" w:right="42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LargeCap Value, SmallCap Value, Total Return, High Income and Alternative Income strategies all beat their primary benchmarks for the quarter.</w:t>
      </w:r>
    </w:p>
    <w:p>
      <w:pPr>
        <w:spacing w:after="0" w:line="66" w:lineRule="exact"/>
        <w:rPr>
          <w:rFonts w:ascii="Arial" w:cs="Arial" w:eastAsia="Arial" w:hAnsi="Arial"/>
          <w:sz w:val="22"/>
          <w:szCs w:val="22"/>
          <w:color w:val="auto"/>
        </w:rPr>
      </w:pPr>
    </w:p>
    <w:p>
      <w:pPr>
        <w:ind w:left="660" w:right="6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peer rankings, High Income achieved a top decile ranking, Income Opportunity and Total Return were top quartile, and SmallCap Value made the top 40%.</w:t>
      </w:r>
    </w:p>
    <w:p>
      <w:pPr>
        <w:spacing w:after="0" w:line="66" w:lineRule="exact"/>
        <w:rPr>
          <w:rFonts w:ascii="Arial" w:cs="Arial" w:eastAsia="Arial" w:hAnsi="Arial"/>
          <w:sz w:val="22"/>
          <w:szCs w:val="22"/>
          <w:color w:val="auto"/>
        </w:rPr>
      </w:pPr>
    </w:p>
    <w:p>
      <w:pPr>
        <w:ind w:left="660" w:right="62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Westwood held $92.3 million in cash and short-term investments as of June 30, 2021, up $5.4 million from the first quarter of 2021.</w:t>
      </w:r>
    </w:p>
    <w:p>
      <w:pPr>
        <w:spacing w:after="0" w:line="66"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Stockholders' equity was $134.7 million as of June 30, 2021 and we continue to have no debt.</w:t>
      </w:r>
    </w:p>
    <w:p>
      <w:pPr>
        <w:spacing w:after="0" w:line="111" w:lineRule="exact"/>
        <w:rPr>
          <w:rFonts w:ascii="Arial" w:cs="Arial" w:eastAsia="Arial" w:hAnsi="Arial"/>
          <w:sz w:val="22"/>
          <w:szCs w:val="22"/>
          <w:color w:val="auto"/>
        </w:rPr>
      </w:pPr>
    </w:p>
    <w:p>
      <w:pPr>
        <w:ind w:left="660" w:right="48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economic earnings totaled $2.8 million vs. the first quarter's $6.3 million, which included the net private investment gains referred to above, and vs. $0.2 million a year ago.</w:t>
      </w:r>
    </w:p>
    <w:p>
      <w:pPr>
        <w:spacing w:after="0" w:line="66"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repurchased 18,866 shares of our common stock for an aggregate cost of $0.3 million.</w:t>
      </w:r>
    </w:p>
    <w:p>
      <w:pPr>
        <w:spacing w:after="0" w:line="111" w:lineRule="exact"/>
        <w:rPr>
          <w:rFonts w:ascii="Arial" w:cs="Arial" w:eastAsia="Arial" w:hAnsi="Arial"/>
          <w:sz w:val="22"/>
          <w:szCs w:val="22"/>
          <w:color w:val="auto"/>
        </w:rPr>
      </w:pPr>
    </w:p>
    <w:p>
      <w:pPr>
        <w:ind w:left="660" w:right="6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declared a regular cash dividend of $0.10 per common share, payable on October 1, 2021 to stockholders of record on September 3, 2021.</w:t>
      </w:r>
    </w:p>
    <w:p>
      <w:pPr>
        <w:spacing w:after="0" w:line="66" w:lineRule="exact"/>
        <w:rPr>
          <w:rFonts w:ascii="Arial" w:cs="Arial" w:eastAsia="Arial" w:hAnsi="Arial"/>
          <w:sz w:val="22"/>
          <w:szCs w:val="22"/>
          <w:color w:val="auto"/>
        </w:rPr>
      </w:pPr>
    </w:p>
    <w:p>
      <w:pPr>
        <w:ind w:left="660" w:right="20" w:hanging="328"/>
        <w:spacing w:after="0" w:line="263" w:lineRule="auto"/>
        <w:tabs>
          <w:tab w:leader="none" w:pos="656"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declared a special cash dividend of $2.50 per common share, payable on August 20, 2021 to stockholders of record on August 6, 2021.</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Brian Casey, Westwood’s President and CEO, commented, "I was very gratified that our strengthened sales and distribution teams succeeded in converting so many pipeline opportunities into our best sales quarter since 2016. We continually assess our capital structure against our capital allocation priorities and, in addition to investing in organic growth and maintaining a strong balance sheet, a key priority for Westwood is returning capital to our shareholders to enhance long-term value. Given the positive momentum in our business, as confirmed by this quarter’s record net sales and the company’s robust cash position and outlook, we are pleased to declare a special dividend of $2.50 per share payable August 16, 2021, supplementing the regular dividend and current share repurchase plan the Company has in place. New net inflows totaled $1 billion, excluding the effect of our decision last year to transition our Global Convertibles team managing $1.6 billion back to Aviva Investors, which took place on April 1st. A</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02" w:lineRule="auto"/>
        <w:rPr>
          <w:sz w:val="20"/>
          <w:szCs w:val="20"/>
          <w:color w:val="auto"/>
        </w:rPr>
      </w:pPr>
      <w:r>
        <w:rPr>
          <w:rFonts w:ascii="Arial" w:cs="Arial" w:eastAsia="Arial" w:hAnsi="Arial"/>
          <w:sz w:val="19"/>
          <w:szCs w:val="19"/>
          <w:color w:val="auto"/>
        </w:rPr>
        <w:t>positive effect of this transition is that the fee mix of our business will benefit from the higher pricing of our new fundings versus the assets we decided to return to Aviva. Performance has remained strong in our Multi-Asset product suite and is improving across our Value strategies, where we have initiated a soft close for SmallCap. We believe that the value style’s return to favor should provide a tailwind for investor and consultant interest in our long-standing approach to investing."</w:t>
      </w:r>
    </w:p>
    <w:p>
      <w:pPr>
        <w:spacing w:after="0" w:line="3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Revenues were lower than the first quarter mainly due to lower performance-based fees. Revenues were higher than last year's second quarter reflecting higher average assets under management ("AUM").</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AUM of $14.4 billion decreased from $14.5 billion at March 31, 2021, primarily due to our decision to shift $1.6 billion in Global Convertibles fund assets back to Aviva, offset by $1.0 billion in net inflows from strong sales activity coupled with modest market appreciation.</w:t>
      </w:r>
    </w:p>
    <w:p>
      <w:pPr>
        <w:spacing w:after="0" w:line="7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Second quarter net income of $1.0 million was lower than the first quarter 's $4.1 million due to realized and unrealized gains totaling $6.0 million on private investments recorded in the first quarter, partially offset by lower income taxes in the second quarter. Diluted earnings per share ("EPS") of $0.12 compared with $0.52 for the first quarter. Non-GAAP economic earnings of $2.8 million, or $0.35 per share, compared with economic earnings of $6.3 million, or $0.79 per share, in the first quarter.</w:t>
      </w:r>
    </w:p>
    <w:p>
      <w:pPr>
        <w:spacing w:after="0" w:line="3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Second quarter net income of $1.0 million compared favorably with 2020's second quarter net loss of $2.6 million primarily on higher revenues and lower operating expenses, particularly foreign currency transaction losses. Diluted EPS of $0.12 compared with $(0.33) for last year's second quarter. Non-GAAP economic earnings were $2.8 million, or $0.35 per share, compared with $0.2 million, or $0.03 per share for the second quarter of 2020.</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Economic earnings and Economic EPS are non-GAAP performance measures and are explained and reconciled with the most comparable GAAP numbers in the attached tables.</w:t>
      </w:r>
    </w:p>
    <w:p>
      <w:pPr>
        <w:spacing w:after="0" w:line="6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Westwood will host a conference call to discuss second quarter 2021 results and other business matters at 4:30 p.m. Eastern time today. To join the conference call, dial 877-303-6235 (U.S. and Canada) or 631-291-4837 (international). The conference call can also be accessed via our Investor Relations page at westwoodgroup.com and will be available for replay through August 3, 2021 by dialing 855-859-2056 (U.S. and Canada) or 404-537-3406 (international) and entering the passcode 2763548.</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 HOLDINGS GROUP</w:t>
      </w:r>
    </w:p>
    <w:p>
      <w:pPr>
        <w:spacing w:after="0" w:line="11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Westwood Holdings Group, Inc. is an investment management boutique and wealth management firm. Westwood offers high-conviction equity and outcome-oriented solutions to institutional investors, private wealth clients and financial intermediaries. The firm specializes in the following distinct investment capabilities: U.S. Value Equity, Multi-Asset, and Liquid Alternatives, available through separate accounts, the Westwood Funds</w:t>
      </w:r>
      <w:r>
        <w:rPr>
          <w:rFonts w:ascii="Arial" w:cs="Arial" w:eastAsia="Arial" w:hAnsi="Arial"/>
          <w:sz w:val="27"/>
          <w:szCs w:val="27"/>
          <w:color w:val="auto"/>
          <w:vertAlign w:val="superscript"/>
        </w:rPr>
        <w:t>®</w:t>
      </w:r>
      <w:r>
        <w:rPr>
          <w:rFonts w:ascii="Arial" w:cs="Arial" w:eastAsia="Arial" w:hAnsi="Arial"/>
          <w:sz w:val="21"/>
          <w:szCs w:val="21"/>
          <w:color w:val="auto"/>
        </w:rPr>
        <w:t xml:space="preserve"> family of mutual funds and other pooled vehicles. Westwood benefits from significant, broad-based employee ownership and trades on the New York Stock Exchange under the symbol “WHG.” Based in Dallas, Westwood also maintains offices in Houston.</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w:t>
      </w:r>
    </w:p>
    <w:p>
      <w:pPr>
        <w:sectPr>
          <w:pgSz w:w="11900" w:h="16838" w:orient="portrait"/>
          <w:cols w:equalWidth="0" w:num="1">
            <w:col w:w="11240"/>
          </w:cols>
          <w:pgMar w:left="320" w:top="1009" w:right="339" w:bottom="144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9"/>
          <w:szCs w:val="19"/>
          <w:color w:val="auto"/>
        </w:rPr>
        <w:t>the composition and market value of our AUM; our ability to maintain our fee structure in light of competitive fee pressures; our stockholder rights agreement may make it more difficult for others to obtain control over us, even if it would be beneficial to our stockholders; risks associated with actions of activist stockholders;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in addition to our stockholder rights agreement, our organizational documents contain provisions that may prevent or deter another group from paying a premium over the market price to our stockholders to acquire our stock; competition in the investment management industry; our ability to avoid termination of client agreements and the related investment redemptions; the significant concentration of our revenues in a small number of customers; our relationships with investment consulting firms; the impact of the COVID-19 pandemic;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2020 and its quarterly report on Form 10-Q for the quarters ended March 31, 2021 and June 30, 2021.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Terry Forbes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240"/>
          </w:cols>
          <w:pgMar w:left="320" w:top="888"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COMPREHENSIVE INCOME (LOSS)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2021</w:t>
            </w:r>
          </w:p>
        </w:tc>
        <w:tc>
          <w:tcPr>
            <w:tcW w:w="260" w:type="dxa"/>
            <w:vAlign w:val="bottom"/>
          </w:tcPr>
          <w:p>
            <w:pPr>
              <w:spacing w:after="0"/>
              <w:rPr>
                <w:sz w:val="18"/>
                <w:szCs w:val="18"/>
                <w:color w:val="auto"/>
              </w:rPr>
            </w:pPr>
          </w:p>
        </w:tc>
        <w:tc>
          <w:tcPr>
            <w:tcW w:w="1540" w:type="dxa"/>
            <w:vAlign w:val="bottom"/>
          </w:tcPr>
          <w:p>
            <w:pPr>
              <w:jc w:val="right"/>
              <w:ind w:right="348"/>
              <w:spacing w:after="0"/>
              <w:rPr>
                <w:sz w:val="20"/>
                <w:szCs w:val="20"/>
                <w:color w:val="auto"/>
              </w:rPr>
            </w:pPr>
            <w:r>
              <w:rPr>
                <w:rFonts w:ascii="Arial" w:cs="Arial" w:eastAsia="Arial" w:hAnsi="Arial"/>
                <w:sz w:val="16"/>
                <w:szCs w:val="16"/>
                <w:b w:val="1"/>
                <w:bCs w:val="1"/>
                <w:color w:val="auto"/>
              </w:rPr>
              <w:t>June 30, 2020</w:t>
            </w:r>
          </w:p>
        </w:tc>
      </w:tr>
      <w:tr>
        <w:trPr>
          <w:trHeight w:val="172"/>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4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Advisory fees:</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2"/>
        </w:trPr>
        <w:tc>
          <w:tcPr>
            <w:tcW w:w="56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Asset-based</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9,328</w:t>
            </w:r>
          </w:p>
        </w:tc>
      </w:tr>
      <w:tr>
        <w:trPr>
          <w:trHeight w:val="186"/>
        </w:trPr>
        <w:tc>
          <w:tcPr>
            <w:tcW w:w="5660" w:type="dxa"/>
            <w:vAlign w:val="bottom"/>
          </w:tcPr>
          <w:p>
            <w:pPr>
              <w:ind w:left="680"/>
              <w:spacing w:after="0"/>
              <w:rPr>
                <w:sz w:val="20"/>
                <w:szCs w:val="20"/>
                <w:color w:val="auto"/>
              </w:rPr>
            </w:pPr>
            <w:r>
              <w:rPr>
                <w:rFonts w:ascii="Arial" w:cs="Arial" w:eastAsia="Arial" w:hAnsi="Arial"/>
                <w:sz w:val="14"/>
                <w:szCs w:val="14"/>
                <w:color w:val="auto"/>
              </w:rPr>
              <w:t>Performance-based</w:t>
            </w:r>
          </w:p>
        </w:tc>
        <w:tc>
          <w:tcPr>
            <w:tcW w:w="240" w:type="dxa"/>
            <w:vAlign w:val="bottom"/>
          </w:tcPr>
          <w:p>
            <w:pPr>
              <w:spacing w:after="0"/>
              <w:rPr>
                <w:sz w:val="16"/>
                <w:szCs w:val="16"/>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695</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Trust fees</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5,657</w:t>
            </w: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Trust performance-based fees</w:t>
            </w:r>
          </w:p>
        </w:tc>
        <w:tc>
          <w:tcPr>
            <w:tcW w:w="240" w:type="dxa"/>
            <w:vAlign w:val="bottom"/>
          </w:tcPr>
          <w:p>
            <w:pPr>
              <w:spacing w:after="0"/>
              <w:rPr>
                <w:sz w:val="16"/>
                <w:szCs w:val="16"/>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2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179"/>
        </w:trPr>
        <w:tc>
          <w:tcPr>
            <w:tcW w:w="56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17,484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15,875</w:t>
            </w:r>
          </w:p>
        </w:tc>
      </w:tr>
      <w:tr>
        <w:trPr>
          <w:trHeight w:val="172"/>
        </w:trPr>
        <w:tc>
          <w:tcPr>
            <w:tcW w:w="5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88"/>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0"/>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Employee compensation and benefits</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10,787</w:t>
            </w: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Westwood mutual funds</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Information technology</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2,030</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Professional services</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2,072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2,191</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foreign currency transactions</w:t>
            </w:r>
          </w:p>
        </w:tc>
        <w:tc>
          <w:tcPr>
            <w:tcW w:w="2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w:t>
            </w:r>
          </w:p>
        </w:tc>
      </w:tr>
      <w:tr>
        <w:trPr>
          <w:trHeight w:val="179"/>
        </w:trPr>
        <w:tc>
          <w:tcPr>
            <w:tcW w:w="56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expenses</w:t>
            </w:r>
          </w:p>
        </w:tc>
        <w:tc>
          <w:tcPr>
            <w:tcW w:w="24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16,706</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17,550</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18,009</w:t>
            </w:r>
          </w:p>
        </w:tc>
      </w:tr>
      <w:tr>
        <w:trPr>
          <w:trHeight w:val="186"/>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operating income (loss)</w:t>
            </w:r>
          </w:p>
        </w:tc>
        <w:tc>
          <w:tcPr>
            <w:tcW w:w="2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(2,134)</w:t>
            </w:r>
          </w:p>
        </w:tc>
      </w:tr>
      <w:tr>
        <w:trPr>
          <w:trHeight w:val="179"/>
        </w:trPr>
        <w:tc>
          <w:tcPr>
            <w:tcW w:w="5660" w:type="dxa"/>
            <w:vAlign w:val="bottom"/>
          </w:tcPr>
          <w:p>
            <w:pPr>
              <w:ind w:left="360"/>
              <w:spacing w:after="0"/>
              <w:rPr>
                <w:sz w:val="20"/>
                <w:szCs w:val="20"/>
                <w:color w:val="auto"/>
              </w:rPr>
            </w:pPr>
            <w:r>
              <w:rPr>
                <w:rFonts w:ascii="Arial" w:cs="Arial" w:eastAsia="Arial" w:hAnsi="Arial"/>
                <w:sz w:val="14"/>
                <w:szCs w:val="14"/>
                <w:color w:val="auto"/>
              </w:rPr>
              <w:t>Realized gains on private investments</w:t>
            </w:r>
          </w:p>
        </w:tc>
        <w:tc>
          <w:tcPr>
            <w:tcW w:w="2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8,325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change in unrealized appreciation (depreciation) on private investments</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Investment income</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7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(1,817)</w:t>
            </w:r>
          </w:p>
        </w:tc>
      </w:tr>
      <w:tr>
        <w:trPr>
          <w:trHeight w:val="186"/>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w:t>
            </w:r>
          </w:p>
        </w:tc>
      </w:tr>
      <w:tr>
        <w:trPr>
          <w:trHeight w:val="179"/>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(2,575)</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59"/>
        </w:trPr>
        <w:tc>
          <w:tcPr>
            <w:tcW w:w="56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Other comprehensive income (loss):</w:t>
            </w: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r>
      <w:tr>
        <w:trPr>
          <w:trHeight w:val="186"/>
        </w:trPr>
        <w:tc>
          <w:tcPr>
            <w:tcW w:w="5660" w:type="dxa"/>
            <w:vAlign w:val="bottom"/>
          </w:tcPr>
          <w:p>
            <w:pPr>
              <w:ind w:left="340"/>
              <w:spacing w:after="0"/>
              <w:rPr>
                <w:sz w:val="20"/>
                <w:szCs w:val="20"/>
                <w:color w:val="auto"/>
              </w:rPr>
            </w:pPr>
            <w:r>
              <w:rPr>
                <w:rFonts w:ascii="Arial" w:cs="Arial" w:eastAsia="Arial" w:hAnsi="Arial"/>
                <w:sz w:val="14"/>
                <w:szCs w:val="14"/>
                <w:color w:val="auto"/>
              </w:rPr>
              <w:t>Foreign currency translation adjustments</w:t>
            </w:r>
          </w:p>
        </w:tc>
        <w:tc>
          <w:tcPr>
            <w:tcW w:w="240" w:type="dxa"/>
            <w:vAlign w:val="bottom"/>
          </w:tcPr>
          <w:p>
            <w:pPr>
              <w:spacing w:after="0"/>
              <w:rPr>
                <w:sz w:val="16"/>
                <w:szCs w:val="16"/>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1,371</w:t>
            </w:r>
          </w:p>
        </w:tc>
      </w:tr>
      <w:tr>
        <w:trPr>
          <w:trHeight w:val="20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income (loss)</w:t>
            </w: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5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(loss) per share:</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0.52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(0.33)</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r>
      <w:tr>
        <w:trPr>
          <w:trHeight w:val="94"/>
        </w:trPr>
        <w:tc>
          <w:tcPr>
            <w:tcW w:w="5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186"/>
        </w:trPr>
        <w:tc>
          <w:tcPr>
            <w:tcW w:w="5660" w:type="dxa"/>
            <w:vAlign w:val="bottom"/>
          </w:tcPr>
          <w:p>
            <w:pPr>
              <w:ind w:left="360"/>
              <w:spacing w:after="0"/>
              <w:rPr>
                <w:sz w:val="20"/>
                <w:szCs w:val="20"/>
                <w:color w:val="auto"/>
              </w:rPr>
            </w:pPr>
            <w:r>
              <w:rPr>
                <w:rFonts w:ascii="Arial" w:cs="Arial" w:eastAsia="Arial" w:hAnsi="Arial"/>
                <w:sz w:val="14"/>
                <w:szCs w:val="14"/>
                <w:color w:val="auto"/>
              </w:rPr>
              <w:t>Basic</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7,884,771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7,887,044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7,879,698</w:t>
            </w:r>
          </w:p>
        </w:tc>
      </w:tr>
      <w:tr>
        <w:trPr>
          <w:trHeight w:val="192"/>
        </w:trPr>
        <w:tc>
          <w:tcPr>
            <w:tcW w:w="5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7,928,106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7,917,390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7,879,698</w:t>
            </w:r>
          </w:p>
        </w:tc>
      </w:tr>
      <w:tr>
        <w:trPr>
          <w:trHeight w:val="95"/>
        </w:trPr>
        <w:tc>
          <w:tcPr>
            <w:tcW w:w="5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Economic Earnings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Economic EPS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0.35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0.79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0.03</w:t>
            </w:r>
          </w:p>
        </w:tc>
      </w:tr>
      <w:tr>
        <w:trPr>
          <w:trHeight w:val="98"/>
        </w:trPr>
        <w:tc>
          <w:tcPr>
            <w:tcW w:w="56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r>
      <w:tr>
        <w:trPr>
          <w:trHeight w:val="182"/>
        </w:trPr>
        <w:tc>
          <w:tcPr>
            <w:tcW w:w="5660" w:type="dxa"/>
            <w:vAlign w:val="bottom"/>
          </w:tcPr>
          <w:p>
            <w:pPr>
              <w:ind w:left="20"/>
              <w:spacing w:after="0"/>
              <w:rPr>
                <w:sz w:val="20"/>
                <w:szCs w:val="20"/>
                <w:color w:val="auto"/>
              </w:rPr>
            </w:pPr>
            <w:r>
              <w:rPr>
                <w:rFonts w:ascii="Arial" w:cs="Arial" w:eastAsia="Arial" w:hAnsi="Arial"/>
                <w:sz w:val="14"/>
                <w:szCs w:val="14"/>
                <w:color w:val="auto"/>
              </w:rPr>
              <w:t>Dividends declared per share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0.00</w:t>
            </w:r>
          </w:p>
        </w:tc>
      </w:tr>
    </w:tbl>
    <w:p>
      <w:pPr>
        <w:sectPr>
          <w:pgSz w:w="11900" w:h="16838" w:orient="portrait"/>
          <w:cols w:equalWidth="0" w:num="1">
            <w:col w:w="11240"/>
          </w:cols>
          <w:pgMar w:left="320" w:top="89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COMPREHENSIVE INCOME (LOSS)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7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2021</w:t>
            </w:r>
          </w:p>
        </w:tc>
        <w:tc>
          <w:tcPr>
            <w:tcW w:w="260" w:type="dxa"/>
            <w:vAlign w:val="bottom"/>
          </w:tcPr>
          <w:p>
            <w:pPr>
              <w:spacing w:after="0"/>
              <w:rPr>
                <w:sz w:val="18"/>
                <w:szCs w:val="18"/>
                <w:color w:val="auto"/>
              </w:rPr>
            </w:pPr>
          </w:p>
        </w:tc>
        <w:tc>
          <w:tcPr>
            <w:tcW w:w="156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 2020</w:t>
            </w:r>
          </w:p>
        </w:tc>
      </w:tr>
      <w:tr>
        <w:trPr>
          <w:trHeight w:val="199"/>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Advisory fees: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Asset-based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20,430</w:t>
            </w:r>
          </w:p>
        </w:tc>
      </w:tr>
      <w:tr>
        <w:trPr>
          <w:trHeight w:val="213"/>
        </w:trPr>
        <w:tc>
          <w:tcPr>
            <w:tcW w:w="7480" w:type="dxa"/>
            <w:vAlign w:val="bottom"/>
          </w:tcPr>
          <w:p>
            <w:pPr>
              <w:ind w:left="680"/>
              <w:spacing w:after="0"/>
              <w:rPr>
                <w:sz w:val="20"/>
                <w:szCs w:val="20"/>
                <w:color w:val="auto"/>
              </w:rPr>
            </w:pPr>
            <w:r>
              <w:rPr>
                <w:rFonts w:ascii="Arial" w:cs="Arial" w:eastAsia="Arial" w:hAnsi="Arial"/>
                <w:sz w:val="16"/>
                <w:szCs w:val="16"/>
                <w:color w:val="auto"/>
              </w:rPr>
              <w:t>Performance-based</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695</w:t>
            </w: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Trust fees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11,608</w:t>
            </w: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Trust performance-based fees</w:t>
            </w:r>
          </w:p>
        </w:tc>
        <w:tc>
          <w:tcPr>
            <w:tcW w:w="2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07"/>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32,544</w:t>
            </w:r>
          </w:p>
        </w:tc>
      </w:tr>
      <w:tr>
        <w:trPr>
          <w:trHeight w:val="199"/>
        </w:trPr>
        <w:tc>
          <w:tcPr>
            <w:tcW w:w="7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compensation and benefits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23,455</w:t>
            </w: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731</w:t>
            </w: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Westwood mutual funds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Information technology</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4,061</w:t>
            </w: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Professional services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w:t>
            </w: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4,497</w:t>
            </w: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foreign currency transactions</w:t>
            </w:r>
          </w:p>
        </w:tc>
        <w:tc>
          <w:tcPr>
            <w:tcW w:w="2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w:t>
            </w:r>
          </w:p>
        </w:tc>
      </w:tr>
      <w:tr>
        <w:trPr>
          <w:trHeight w:val="207"/>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expenses</w:t>
            </w:r>
          </w:p>
        </w:tc>
        <w:tc>
          <w:tcPr>
            <w:tcW w:w="28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34,256</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34,262</w:t>
            </w: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operating income (loss)</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w:t>
            </w:r>
          </w:p>
        </w:tc>
      </w:tr>
      <w:tr>
        <w:trPr>
          <w:trHeight w:val="207"/>
        </w:trPr>
        <w:tc>
          <w:tcPr>
            <w:tcW w:w="7480" w:type="dxa"/>
            <w:vAlign w:val="bottom"/>
          </w:tcPr>
          <w:p>
            <w:pPr>
              <w:ind w:left="360"/>
              <w:spacing w:after="0"/>
              <w:rPr>
                <w:sz w:val="20"/>
                <w:szCs w:val="20"/>
                <w:color w:val="auto"/>
              </w:rPr>
            </w:pPr>
            <w:r>
              <w:rPr>
                <w:rFonts w:ascii="Arial" w:cs="Arial" w:eastAsia="Arial" w:hAnsi="Arial"/>
                <w:sz w:val="16"/>
                <w:szCs w:val="16"/>
                <w:color w:val="auto"/>
              </w:rPr>
              <w:t>Realized gains on private investments</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8,371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change in unrealized appreciation (depreciation) on private investments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Investment income</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668</w:t>
            </w: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6"/>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w:t>
            </w:r>
          </w:p>
        </w:tc>
      </w:tr>
      <w:tr>
        <w:trPr>
          <w:trHeight w:val="213"/>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expense (benefit)</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06"/>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(1,871)</w:t>
            </w:r>
          </w:p>
        </w:tc>
      </w:tr>
      <w:tr>
        <w:trPr>
          <w:trHeight w:val="234"/>
        </w:trPr>
        <w:tc>
          <w:tcPr>
            <w:tcW w:w="7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(0.18)</w:t>
            </w: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r>
      <w:tr>
        <w:trPr>
          <w:trHeight w:val="95"/>
        </w:trPr>
        <w:tc>
          <w:tcPr>
            <w:tcW w:w="7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7,885,901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8,147,045</w:t>
            </w: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7,922,742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8,147,045</w:t>
            </w:r>
          </w:p>
        </w:tc>
      </w:tr>
      <w:tr>
        <w:trPr>
          <w:trHeight w:val="95"/>
        </w:trPr>
        <w:tc>
          <w:tcPr>
            <w:tcW w:w="7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Economic Earnings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4,424</w:t>
            </w: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Economic EPS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0.54</w:t>
            </w:r>
          </w:p>
        </w:tc>
      </w:tr>
      <w:tr>
        <w:trPr>
          <w:trHeight w:val="98"/>
        </w:trPr>
        <w:tc>
          <w:tcPr>
            <w:tcW w:w="74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r>
      <w:tr>
        <w:trPr>
          <w:trHeight w:val="210"/>
        </w:trPr>
        <w:tc>
          <w:tcPr>
            <w:tcW w:w="748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0.43</w:t>
            </w:r>
          </w:p>
        </w:tc>
      </w:tr>
    </w:tbl>
    <w:p>
      <w:pPr>
        <w:sectPr>
          <w:pgSz w:w="11900" w:h="16838" w:orient="portrait"/>
          <w:cols w:equalWidth="0" w:num="1">
            <w:col w:w="11240"/>
          </w:cols>
          <w:pgMar w:left="320" w:top="1138" w:right="339" w:bottom="1440" w:gutter="0" w:footer="0" w:header="0"/>
        </w:sectPr>
      </w:pPr>
    </w:p>
    <w:bookmarkStart w:id="8" w:name="page9"/>
    <w:bookmarkEnd w:id="8"/>
    <w:p>
      <w:pPr>
        <w:ind w:right="5200"/>
        <w:spacing w:after="0" w:line="261"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w:t>
      </w:r>
    </w:p>
    <w:p>
      <w:pPr>
        <w:spacing w:after="0"/>
        <w:rPr>
          <w:sz w:val="20"/>
          <w:szCs w:val="20"/>
          <w:color w:val="auto"/>
        </w:rPr>
      </w:pPr>
      <w:r>
        <w:rPr>
          <w:rFonts w:ascii="Arial" w:cs="Arial" w:eastAsia="Arial" w:hAnsi="Arial"/>
          <w:sz w:val="20"/>
          <w:szCs w:val="20"/>
          <w:b w:val="1"/>
          <w:bCs w:val="1"/>
          <w:color w:val="auto"/>
        </w:rPr>
        <w:t>(in thousands, except par value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8"/>
                <w:szCs w:val="18"/>
                <w:color w:val="auto"/>
              </w:rPr>
            </w:pPr>
          </w:p>
        </w:tc>
        <w:tc>
          <w:tcPr>
            <w:tcW w:w="1560" w:type="dxa"/>
            <w:vAlign w:val="bottom"/>
          </w:tcPr>
          <w:p>
            <w:pPr>
              <w:jc w:val="right"/>
              <w:ind w:right="110"/>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213"/>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w:t>
            </w: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9,881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9,450</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at fair value</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69,542</w:t>
            </w: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Prepaid income taxes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23"/>
        </w:trPr>
        <w:tc>
          <w:tcPr>
            <w:tcW w:w="748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104,657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96,314</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Noncurrent investments at fair value</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12,723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13,535</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$8,290 and $8,056</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long-term assets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52,838</w:t>
            </w:r>
          </w:p>
        </w:tc>
        <w:tc>
          <w:tcPr>
            <w:tcW w:w="0" w:type="dxa"/>
            <w:vAlign w:val="bottom"/>
          </w:tcPr>
          <w:p>
            <w:pPr>
              <w:spacing w:after="0"/>
              <w:rPr>
                <w:sz w:val="1"/>
                <w:szCs w:val="1"/>
                <w:color w:val="auto"/>
              </w:rPr>
            </w:pPr>
          </w:p>
        </w:tc>
      </w:tr>
      <w:tr>
        <w:trPr>
          <w:trHeight w:val="223"/>
        </w:trPr>
        <w:tc>
          <w:tcPr>
            <w:tcW w:w="7480" w:type="dxa"/>
            <w:vAlign w:val="bottom"/>
          </w:tcPr>
          <w:p>
            <w:pPr>
              <w:ind w:left="68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149,152</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29"/>
        </w:trPr>
        <w:tc>
          <w:tcPr>
            <w:tcW w:w="7480" w:type="dxa"/>
            <w:vAlign w:val="bottom"/>
          </w:tcPr>
          <w:p>
            <w:pPr>
              <w:ind w:left="360"/>
              <w:spacing w:after="0"/>
              <w:rPr>
                <w:sz w:val="20"/>
                <w:szCs w:val="20"/>
                <w:color w:val="auto"/>
              </w:rPr>
            </w:pPr>
            <w:r>
              <w:rPr>
                <w:rFonts w:ascii="Arial" w:cs="Arial" w:eastAsia="Arial" w:hAnsi="Arial"/>
                <w:sz w:val="18"/>
                <w:szCs w:val="18"/>
                <w:color w:val="auto"/>
              </w:rPr>
              <w:t>Dividends payable</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 payable</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748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11,889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11,794</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dividends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18,441</w:t>
            </w: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480" w:type="dxa"/>
            <w:vAlign w:val="bottom"/>
          </w:tcPr>
          <w:p>
            <w:pPr>
              <w:ind w:left="180"/>
              <w:spacing w:after="0" w:line="176" w:lineRule="exact"/>
              <w:rPr>
                <w:sz w:val="20"/>
                <w:szCs w:val="20"/>
                <w:color w:val="auto"/>
              </w:rPr>
            </w:pPr>
            <w:r>
              <w:rPr>
                <w:rFonts w:ascii="Arial" w:cs="Arial" w:eastAsia="Arial" w:hAnsi="Arial"/>
                <w:sz w:val="18"/>
                <w:szCs w:val="18"/>
                <w:color w:val="auto"/>
                <w:w w:val="91"/>
              </w:rPr>
              <w:t>Common stock, $0.01 par value, authorized 25,000,000 shares, issued 10,661,016 and outstanding</w:t>
            </w: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80" w:type="dxa"/>
            <w:vAlign w:val="bottom"/>
          </w:tcPr>
          <w:p>
            <w:pPr>
              <w:ind w:left="360"/>
              <w:spacing w:after="0" w:line="176" w:lineRule="exact"/>
              <w:rPr>
                <w:sz w:val="20"/>
                <w:szCs w:val="20"/>
                <w:color w:val="auto"/>
              </w:rPr>
            </w:pPr>
            <w:r>
              <w:rPr>
                <w:rFonts w:ascii="Arial" w:cs="Arial" w:eastAsia="Arial" w:hAnsi="Arial"/>
                <w:sz w:val="18"/>
                <w:szCs w:val="18"/>
                <w:color w:val="auto"/>
                <w:w w:val="96"/>
              </w:rPr>
              <w:t>8,324,702 shares at June 30, 2021; issued 10,500,549 and outstanding 8,326,948 shares at</w:t>
            </w:r>
          </w:p>
        </w:tc>
        <w:tc>
          <w:tcPr>
            <w:tcW w:w="30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7480" w:type="dxa"/>
            <w:vAlign w:val="bottom"/>
          </w:tcPr>
          <w:p>
            <w:pPr>
              <w:ind w:left="360"/>
              <w:spacing w:after="0"/>
              <w:rPr>
                <w:sz w:val="20"/>
                <w:szCs w:val="20"/>
                <w:color w:val="auto"/>
              </w:rPr>
            </w:pPr>
            <w:r>
              <w:rPr>
                <w:rFonts w:ascii="Arial" w:cs="Arial" w:eastAsia="Arial" w:hAnsi="Arial"/>
                <w:sz w:val="18"/>
                <w:szCs w:val="18"/>
                <w:color w:val="auto"/>
              </w:rPr>
              <w:t>December 31, 2020</w:t>
            </w:r>
          </w:p>
        </w:tc>
        <w:tc>
          <w:tcPr>
            <w:tcW w:w="3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210,268</w:t>
            </w:r>
          </w:p>
        </w:tc>
        <w:tc>
          <w:tcPr>
            <w:tcW w:w="0" w:type="dxa"/>
            <w:vAlign w:val="bottom"/>
          </w:tcPr>
          <w:p>
            <w:pPr>
              <w:spacing w:after="0"/>
              <w:rPr>
                <w:sz w:val="1"/>
                <w:szCs w:val="1"/>
                <w:color w:val="auto"/>
              </w:rPr>
            </w:pPr>
          </w:p>
        </w:tc>
      </w:tr>
      <w:tr>
        <w:trPr>
          <w:trHeight w:val="230"/>
        </w:trPr>
        <w:tc>
          <w:tcPr>
            <w:tcW w:w="7480" w:type="dxa"/>
            <w:vAlign w:val="bottom"/>
          </w:tcPr>
          <w:p>
            <w:pPr>
              <w:ind w:left="180"/>
              <w:spacing w:after="0"/>
              <w:rPr>
                <w:sz w:val="20"/>
                <w:szCs w:val="20"/>
                <w:color w:val="auto"/>
              </w:rPr>
            </w:pPr>
            <w:r>
              <w:rPr>
                <w:rFonts w:ascii="Arial" w:cs="Arial" w:eastAsia="Arial" w:hAnsi="Arial"/>
                <w:sz w:val="18"/>
                <w:szCs w:val="18"/>
                <w:color w:val="auto"/>
                <w:w w:val="90"/>
              </w:rPr>
              <w:t>Treasury stock, at cost - 2,336,315 shares at June 30, 2021; 2,173,559 shares at December 31, 2020</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(80,551)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(77,967)</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 (accumulated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130,711</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149,152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138"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rPr>
          <w:sz w:val="20"/>
          <w:szCs w:val="20"/>
          <w:color w:val="auto"/>
        </w:rPr>
      </w:pPr>
      <w:r>
        <w:rPr>
          <w:rFonts w:ascii="Arial" w:cs="Arial" w:eastAsia="Arial" w:hAnsi="Arial"/>
          <w:sz w:val="20"/>
          <w:szCs w:val="20"/>
          <w:b w:val="1"/>
          <w:bCs w:val="1"/>
          <w:color w:val="auto"/>
        </w:rPr>
        <w:t>(in thousands)</w:t>
      </w:r>
    </w:p>
    <w:p>
      <w:pPr>
        <w:spacing w:after="0"/>
        <w:rPr>
          <w:sz w:val="20"/>
          <w:szCs w:val="20"/>
          <w:color w:val="auto"/>
        </w:rPr>
      </w:pPr>
      <w:r>
        <w:rPr>
          <w:rFonts w:ascii="Arial" w:cs="Arial" w:eastAsia="Arial" w:hAnsi="Arial"/>
          <w:sz w:val="20"/>
          <w:szCs w:val="20"/>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Borders>
              <w:bottom w:val="single" w:sz="8" w:color="auto"/>
            </w:tcBorders>
          </w:tcPr>
          <w:p>
            <w:pPr>
              <w:spacing w:after="0"/>
              <w:rPr>
                <w:sz w:val="18"/>
                <w:szCs w:val="18"/>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5,071</w:t>
            </w:r>
          </w:p>
        </w:tc>
        <w:tc>
          <w:tcPr>
            <w:tcW w:w="12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(1,473)</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(used in) provided by operating activities: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Depreciation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465</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Net change in unrealized (appreciation) depreciation on investments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2,273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904</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on private investments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3,097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4,921</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Non-cash lease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asset disposition</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(purchases) sales of trading securities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20,029</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2,350</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current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1,585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Compensation and benefits payable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(5,790)</w:t>
            </w:r>
          </w:p>
        </w:tc>
      </w:tr>
      <w:tr>
        <w:trPr>
          <w:trHeight w:val="213"/>
        </w:trPr>
        <w:tc>
          <w:tcPr>
            <w:tcW w:w="8000" w:type="dxa"/>
            <w:vAlign w:val="bottom"/>
          </w:tcPr>
          <w:p>
            <w:pPr>
              <w:ind w:left="680"/>
              <w:spacing w:after="0"/>
              <w:rPr>
                <w:sz w:val="20"/>
                <w:szCs w:val="20"/>
                <w:color w:val="auto"/>
              </w:rPr>
            </w:pPr>
            <w:r>
              <w:rPr>
                <w:rFonts w:ascii="Arial" w:cs="Arial" w:eastAsia="Arial" w:hAnsi="Arial"/>
                <w:sz w:val="16"/>
                <w:szCs w:val="16"/>
                <w:color w:val="auto"/>
              </w:rPr>
              <w:t>Income taxes payable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2,899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219"/>
        </w:trPr>
        <w:tc>
          <w:tcPr>
            <w:tcW w:w="80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w:t>
            </w:r>
          </w:p>
        </w:tc>
      </w:tr>
      <w:tr>
        <w:trPr>
          <w:trHeight w:val="206"/>
        </w:trPr>
        <w:tc>
          <w:tcPr>
            <w:tcW w:w="800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(used in) provided by operating activities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21,824</w:t>
            </w: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Sale of investments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9,258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 of property and equipment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Purchases of property and equipment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investments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00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provided by (used in) investing activities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9,651</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19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Purchases of treasury stock</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(1,700)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(12,952)</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treasury stock for employee stock plans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r>
      <w:tr>
        <w:trPr>
          <w:trHeight w:val="213"/>
        </w:trPr>
        <w:tc>
          <w:tcPr>
            <w:tcW w:w="8000" w:type="dxa"/>
            <w:vAlign w:val="bottom"/>
          </w:tcPr>
          <w:p>
            <w:pPr>
              <w:ind w:left="360"/>
              <w:spacing w:after="0"/>
              <w:rPr>
                <w:sz w:val="20"/>
                <w:szCs w:val="20"/>
                <w:color w:val="auto"/>
              </w:rPr>
            </w:pPr>
            <w:r>
              <w:rPr>
                <w:rFonts w:ascii="Arial" w:cs="Arial" w:eastAsia="Arial" w:hAnsi="Arial"/>
                <w:sz w:val="16"/>
                <w:szCs w:val="16"/>
                <w:color w:val="auto"/>
              </w:rPr>
              <w:t>Restricted stock returned for payment of taxes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(1,120)</w:t>
            </w: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(11,043)</w:t>
            </w:r>
          </w:p>
        </w:tc>
      </w:tr>
      <w:tr>
        <w:trPr>
          <w:trHeight w:val="207"/>
        </w:trPr>
        <w:tc>
          <w:tcPr>
            <w:tcW w:w="800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Net cash used in financing activities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(25,812)</w:t>
            </w:r>
          </w:p>
        </w:tc>
      </w:tr>
      <w:tr>
        <w:trPr>
          <w:trHeight w:val="213"/>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currency rate changes on cash</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w:t>
            </w:r>
          </w:p>
        </w:tc>
      </w:tr>
      <w:tr>
        <w:trPr>
          <w:trHeight w:val="20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4,231</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(5,840)</w:t>
            </w: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13,016</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49,766</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17,247</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43,926</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86"/>
        </w:trPr>
        <w:tc>
          <w:tcPr>
            <w:tcW w:w="80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during the period for income taxes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10"/>
        </w:trPr>
        <w:tc>
          <w:tcPr>
            <w:tcW w:w="8000" w:type="dxa"/>
            <w:vAlign w:val="bottom"/>
          </w:tcPr>
          <w:p>
            <w:pPr>
              <w:ind w:left="360"/>
              <w:spacing w:after="0"/>
              <w:rPr>
                <w:sz w:val="20"/>
                <w:szCs w:val="20"/>
                <w:color w:val="auto"/>
              </w:rPr>
            </w:pPr>
            <w:r>
              <w:rPr>
                <w:rFonts w:ascii="Arial" w:cs="Arial" w:eastAsia="Arial" w:hAnsi="Arial"/>
                <w:sz w:val="16"/>
                <w:szCs w:val="16"/>
                <w:color w:val="auto"/>
              </w:rPr>
              <w:t>Accrued dividends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1,364</w:t>
            </w:r>
          </w:p>
        </w:tc>
        <w:tc>
          <w:tcPr>
            <w:tcW w:w="12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1,498</w:t>
            </w:r>
          </w:p>
        </w:tc>
      </w:tr>
    </w:tbl>
    <w:p>
      <w:pPr>
        <w:sectPr>
          <w:pgSz w:w="11900" w:h="16838" w:orient="portrait"/>
          <w:cols w:equalWidth="0" w:num="1">
            <w:col w:w="11240"/>
          </w:cols>
          <w:pgMar w:left="320" w:top="895" w:right="339" w:bottom="1440" w:gutter="0" w:footer="0" w:header="0"/>
        </w:sectPr>
      </w:pPr>
    </w:p>
    <w:bookmarkStart w:id="10" w:name="page11"/>
    <w:bookmarkEnd w:id="10"/>
    <w:p>
      <w:pPr>
        <w:ind w:right="5200"/>
        <w:spacing w:after="0" w:line="261" w:lineRule="auto"/>
        <w:rPr>
          <w:sz w:val="20"/>
          <w:szCs w:val="20"/>
          <w:color w:val="auto"/>
        </w:rPr>
      </w:pPr>
      <w:r>
        <w:rPr>
          <w:rFonts w:ascii="Arial" w:cs="Arial" w:eastAsia="Arial" w:hAnsi="Arial"/>
          <w:sz w:val="21"/>
          <w:szCs w:val="21"/>
          <w:b w:val="1"/>
          <w:bCs w:val="1"/>
          <w:color w:val="auto"/>
        </w:rPr>
        <w:t>WESTWOOD HOLDINGS GROUP, INC. AND SUBSIDIARIES Reconciliation of Net Income to Economic Earnings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r>
      <w:tr>
        <w:trPr>
          <w:trHeight w:val="226"/>
        </w:trPr>
        <w:tc>
          <w:tcPr>
            <w:tcW w:w="4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2021</w:t>
            </w:r>
          </w:p>
        </w:tc>
        <w:tc>
          <w:tcPr>
            <w:tcW w:w="220" w:type="dxa"/>
            <w:vAlign w:val="bottom"/>
          </w:tcPr>
          <w:p>
            <w:pPr>
              <w:spacing w:after="0"/>
              <w:rPr>
                <w:sz w:val="19"/>
                <w:szCs w:val="19"/>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March 31, 2021</w:t>
            </w:r>
          </w:p>
        </w:tc>
        <w:tc>
          <w:tcPr>
            <w:tcW w:w="320" w:type="dxa"/>
            <w:vAlign w:val="bottom"/>
          </w:tcPr>
          <w:p>
            <w:pPr>
              <w:spacing w:after="0"/>
              <w:rPr>
                <w:sz w:val="19"/>
                <w:szCs w:val="19"/>
                <w:color w:val="auto"/>
              </w:rPr>
            </w:pPr>
          </w:p>
        </w:tc>
        <w:tc>
          <w:tcPr>
            <w:tcW w:w="17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 2020</w:t>
            </w: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Add: Stock-based compensation expense</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2,305</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Intangible amortization</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2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Tax benefit from goodwill amortization</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Economic Earnings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7,928,106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7,917,390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7,879,698</w:t>
            </w:r>
          </w:p>
        </w:tc>
      </w:tr>
      <w:tr>
        <w:trPr>
          <w:trHeight w:val="234"/>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Economic EPS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481"/>
        </w:trPr>
        <w:tc>
          <w:tcPr>
            <w:tcW w:w="4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4"/>
          </w:tcPr>
          <w:p>
            <w:pPr>
              <w:jc w:val="right"/>
              <w:ind w:right="131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4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 2021</w:t>
            </w:r>
          </w:p>
        </w:tc>
        <w:tc>
          <w:tcPr>
            <w:tcW w:w="320" w:type="dxa"/>
            <w:vAlign w:val="bottom"/>
          </w:tcPr>
          <w:p>
            <w:pPr>
              <w:spacing w:after="0"/>
              <w:rPr>
                <w:sz w:val="19"/>
                <w:szCs w:val="19"/>
                <w:color w:val="auto"/>
              </w:rPr>
            </w:pPr>
          </w:p>
        </w:tc>
        <w:tc>
          <w:tcPr>
            <w:tcW w:w="17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 2020</w:t>
            </w: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Add: Stock-based compensation expense</w:t>
            </w: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4,921</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Intangible amortization</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2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Tax benefit from goodwill amortization</w:t>
            </w:r>
          </w:p>
        </w:tc>
        <w:tc>
          <w:tcPr>
            <w:tcW w:w="30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Economic Earnings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7,922,742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8,147,045</w:t>
            </w:r>
          </w:p>
        </w:tc>
      </w:tr>
      <w:tr>
        <w:trPr>
          <w:trHeight w:val="234"/>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Economic EPS</w:t>
            </w: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0.54</w:t>
            </w:r>
          </w:p>
        </w:tc>
      </w:tr>
    </w:tbl>
    <w:p>
      <w:pPr>
        <w:spacing w:after="0" w:line="200" w:lineRule="exact"/>
        <w:rPr>
          <w:sz w:val="20"/>
          <w:szCs w:val="20"/>
          <w:color w:val="auto"/>
        </w:rPr>
      </w:pP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supplemental information, we are providing non-GAAP performance measures that we refer to as Economic Earnings and Economic EPS. We provide these measures in addition to, not as a substitute for, net income (loss) and earnings (loss)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7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define Economic Earnings as net income (loss)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sectPr>
      <w:pgSz w:w="11900" w:h="16838" w:orient="portrait"/>
      <w:cols w:equalWidth="0" w:num="1">
        <w:col w:w="11240"/>
      </w:cols>
      <w:pgMar w:left="320" w:top="1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2021-07-27T16:23:04Z</dcterms:created>
  <dcterms:modified xsi:type="dcterms:W3CDTF">2021-07-27T16:23:04Z</dcterms:modified>
</cp:coreProperties>
</file>