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2020</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240"/>
          </w:cols>
          <w:pgMar w:left="320" w:top="1037"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75-2969997</w:t>
      </w:r>
    </w:p>
    <w:p>
      <w:pPr>
        <w:spacing w:after="0" w:line="75" w:lineRule="exact"/>
        <w:rPr>
          <w:sz w:val="24"/>
          <w:szCs w:val="24"/>
          <w:color w:val="auto"/>
        </w:rPr>
      </w:pPr>
    </w:p>
    <w:p>
      <w:pPr>
        <w:sectPr>
          <w:pgSz w:w="11900" w:h="16838" w:orient="portrait"/>
          <w:cols w:equalWidth="0" w:num="3">
            <w:col w:w="4480" w:space="720"/>
            <w:col w:w="3020" w:space="720"/>
            <w:col w:w="2300"/>
          </w:cols>
          <w:pgMar w:left="320" w:top="1037"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4" w:lineRule="exact"/>
        <w:rPr>
          <w:sz w:val="24"/>
          <w:szCs w:val="24"/>
          <w:color w:val="auto"/>
        </w:rPr>
      </w:pPr>
    </w:p>
    <w:p>
      <w:pPr>
        <w:sectPr>
          <w:pgSz w:w="11900" w:h="16838" w:orient="portrait"/>
          <w:cols w:equalWidth="0" w:num="3">
            <w:col w:w="3880" w:space="720"/>
            <w:col w:w="2820" w:space="720"/>
            <w:col w:w="3100"/>
          </w:cols>
          <w:pgMar w:left="320" w:top="103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1037" w:right="339" w:bottom="1440" w:gutter="0" w:footer="0" w:header="0"/>
          <w:type w:val="continuous"/>
        </w:sectPr>
      </w:pPr>
    </w:p>
    <w:p>
      <w:pPr>
        <w:spacing w:after="0" w:line="259" w:lineRule="exact"/>
        <w:rPr>
          <w:sz w:val="24"/>
          <w:szCs w:val="24"/>
          <w:color w:val="auto"/>
        </w:rPr>
      </w:pPr>
    </w:p>
    <w:p>
      <w:pPr>
        <w:ind w:right="5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90" w:lineRule="exact"/>
        <w:rPr>
          <w:sz w:val="24"/>
          <w:szCs w:val="24"/>
          <w:color w:val="auto"/>
        </w:rPr>
      </w:pPr>
    </w:p>
    <w:p>
      <w:pPr>
        <w:ind w:left="180"/>
        <w:spacing w:after="0"/>
        <w:rPr>
          <w:sz w:val="24"/>
          <w:szCs w:val="24"/>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sz w:val="24"/>
          <w:szCs w:val="24"/>
          <w:color w:val="auto"/>
        </w:rPr>
      </w:pPr>
    </w:p>
    <w:p>
      <w:pPr>
        <w:ind w:left="180"/>
        <w:spacing w:after="0"/>
        <w:rPr>
          <w:sz w:val="24"/>
          <w:szCs w:val="24"/>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sz w:val="24"/>
          <w:szCs w:val="24"/>
          <w:color w:val="auto"/>
        </w:rPr>
      </w:pPr>
    </w:p>
    <w:p>
      <w:pPr>
        <w:ind w:left="180"/>
        <w:spacing w:after="0"/>
        <w:rPr>
          <w:sz w:val="24"/>
          <w:szCs w:val="2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sz w:val="24"/>
          <w:szCs w:val="24"/>
          <w:color w:val="auto"/>
        </w:rPr>
      </w:pPr>
    </w:p>
    <w:p>
      <w:pPr>
        <w:ind w:left="180"/>
        <w:spacing w:after="0"/>
        <w:rPr>
          <w:sz w:val="24"/>
          <w:szCs w:val="24"/>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30"/>
        </w:trPr>
        <w:tc>
          <w:tcPr>
            <w:tcW w:w="8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9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4"/>
                <w:szCs w:val="24"/>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73" w:lineRule="exact"/>
        <w:rPr>
          <w:sz w:val="24"/>
          <w:szCs w:val="24"/>
          <w:color w:val="auto"/>
        </w:rPr>
      </w:pPr>
    </w:p>
    <w:p>
      <w:pPr>
        <w:ind w:right="5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4" w:lineRule="exact"/>
        <w:rPr>
          <w:sz w:val="24"/>
          <w:szCs w:val="24"/>
          <w:color w:val="auto"/>
        </w:rPr>
      </w:pPr>
    </w:p>
    <w:p>
      <w:pPr>
        <w:ind w:left="92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ind w:right="20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4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On October 28, 2020, Westwood Holdings Group, Inc. (“Westwood”) announced its financial results for the quarter ended September 30, 2020, a copy of which is furnished with this Current Report on Form 8-K as Exhibit 99.1.</w:t>
      </w:r>
    </w:p>
    <w:p>
      <w:pPr>
        <w:spacing w:after="0" w:line="18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4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Exhibit Number</w:t>
      </w:r>
      <w:r>
        <w:rPr>
          <w:sz w:val="20"/>
          <w:szCs w:val="20"/>
          <w:color w:val="auto"/>
        </w:rPr>
        <w:tab/>
      </w:r>
      <w:r>
        <w:rPr>
          <w:rFonts w:ascii="Times New Roman" w:cs="Times New Roman" w:eastAsia="Times New Roman" w:hAnsi="Times New Roman"/>
          <w:sz w:val="19"/>
          <w:szCs w:val="19"/>
          <w:color w:val="auto"/>
        </w:rPr>
        <w:t>Description</w:t>
      </w:r>
    </w:p>
    <w:p>
      <w:pPr>
        <w:spacing w:after="0" w:line="243" w:lineRule="exact"/>
        <w:rPr>
          <w:sz w:val="20"/>
          <w:szCs w:val="20"/>
          <w:color w:val="auto"/>
        </w:rPr>
      </w:pPr>
    </w:p>
    <w:p>
      <w:pPr>
        <w:spacing w:after="0"/>
        <w:tabs>
          <w:tab w:leader="none" w:pos="540" w:val="left"/>
        </w:tabs>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20"/>
          <w:szCs w:val="20"/>
          <w:color w:val="auto"/>
        </w:rPr>
        <w:t>99.1</w:t>
      </w:r>
      <w:r>
        <w:rPr>
          <w:sz w:val="20"/>
          <w:szCs w:val="20"/>
          <w:color w:val="auto"/>
        </w:rPr>
        <w:tab/>
      </w:r>
      <w:hyperlink w:anchor="page4">
        <w:r>
          <w:rPr>
            <w:rFonts w:ascii="Times New Roman" w:cs="Times New Roman" w:eastAsia="Times New Roman" w:hAnsi="Times New Roman"/>
            <w:sz w:val="19"/>
            <w:szCs w:val="19"/>
            <w:u w:val="single" w:color="auto"/>
            <w:color w:val="0000FF"/>
          </w:rPr>
          <w:t>Press Release dated October 28, 2020</w:t>
        </w:r>
      </w:hyperlink>
    </w:p>
    <w:p>
      <w:pPr>
        <w:sectPr>
          <w:pgSz w:w="11900" w:h="16838" w:orient="portrait"/>
          <w:cols w:equalWidth="0" w:num="1">
            <w:col w:w="11160"/>
          </w:cols>
          <w:pgMar w:left="320" w:top="88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43"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28, 2020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Westwood Holdings Group, Inc. Reports Third Quarter 2020 Results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Strong investment performance across multiple strategies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Earnings impacted by non-cash and non-recurring items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cash position strengthened with funds repatriated from Canadian operation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October 28, 2020 – Westwood Holdings Group, Inc. (NYSE: WHG) today reported third quarter 2020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include:</w:t>
      </w:r>
    </w:p>
    <w:p>
      <w:pPr>
        <w:spacing w:after="0" w:line="182" w:lineRule="exact"/>
        <w:rPr>
          <w:sz w:val="20"/>
          <w:szCs w:val="20"/>
          <w:color w:val="auto"/>
        </w:rPr>
      </w:pPr>
    </w:p>
    <w:p>
      <w:pPr>
        <w:ind w:left="660" w:right="2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Opportunity, AllCap Value, SmidCap, Total Return, High Income, Alternative Income, and Global Convertibles strategies all beat their primary benchmarks for the quarter.</w:t>
      </w:r>
    </w:p>
    <w:p>
      <w:pPr>
        <w:spacing w:after="0" w:line="103" w:lineRule="exact"/>
        <w:rPr>
          <w:rFonts w:ascii="Times New Roman" w:cs="Times New Roman" w:eastAsia="Times New Roman" w:hAnsi="Times New Roman"/>
          <w:sz w:val="22"/>
          <w:szCs w:val="22"/>
          <w:color w:val="auto"/>
        </w:rPr>
      </w:pPr>
    </w:p>
    <w:p>
      <w:pPr>
        <w:ind w:left="660" w:right="1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Return strategy achieved a top quartile peer ranking while our SmidCap, AllCap Value, and High Income strategies posted top 40% peer rankings.</w:t>
      </w:r>
    </w:p>
    <w:p>
      <w:pPr>
        <w:spacing w:after="0" w:line="103" w:lineRule="exact"/>
        <w:rPr>
          <w:rFonts w:ascii="Times New Roman" w:cs="Times New Roman" w:eastAsia="Times New Roman" w:hAnsi="Times New Roman"/>
          <w:sz w:val="22"/>
          <w:szCs w:val="22"/>
          <w:color w:val="auto"/>
        </w:rPr>
      </w:pPr>
    </w:p>
    <w:p>
      <w:pPr>
        <w:ind w:left="660" w:right="30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held $77.6 million in cash and short-term investments at September 30, 2020, up $3.4 million from June 30, 2020. Stockholders' equity was $126.5 million and no debt.</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of $15.5 million compared with $15.9 million in the second quarter of 2020 and $19.9 million a year ago.</w:t>
      </w:r>
    </w:p>
    <w:p>
      <w:pPr>
        <w:spacing w:after="0" w:line="165" w:lineRule="exact"/>
        <w:rPr>
          <w:rFonts w:ascii="Times New Roman" w:cs="Times New Roman" w:eastAsia="Times New Roman" w:hAnsi="Times New Roman"/>
          <w:sz w:val="22"/>
          <w:szCs w:val="22"/>
          <w:color w:val="auto"/>
        </w:rPr>
      </w:pPr>
    </w:p>
    <w:p>
      <w:pPr>
        <w:ind w:left="660" w:right="2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loss of $10.3 million compared with a net loss of $2.6 million in the second quarter of 2020 and net income of $1.1 million a year ago.</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third quarter was negatively impacted by several one-time items, including:</w:t>
      </w:r>
    </w:p>
    <w:p>
      <w:pPr>
        <w:spacing w:after="0" w:line="165" w:lineRule="exact"/>
        <w:rPr>
          <w:rFonts w:ascii="Times New Roman" w:cs="Times New Roman" w:eastAsia="Times New Roman" w:hAnsi="Times New Roman"/>
          <w:sz w:val="22"/>
          <w:szCs w:val="22"/>
          <w:color w:val="auto"/>
        </w:rPr>
      </w:pPr>
    </w:p>
    <w:p>
      <w:pPr>
        <w:ind w:left="1300" w:right="600" w:hanging="320"/>
        <w:spacing w:after="0" w:line="257" w:lineRule="auto"/>
        <w:tabs>
          <w:tab w:leader="none" w:pos="12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 million non-cash reclassification of foreign currency translation adjustments from Accumulated Other Comprehensive Income (Loss) to Net Income (Loss), with no impact on Stockholder's Equity, following the closure of Westwood International Advisors.</w:t>
      </w:r>
    </w:p>
    <w:p>
      <w:pPr>
        <w:spacing w:after="0" w:line="10" w:lineRule="exact"/>
        <w:rPr>
          <w:rFonts w:ascii="Times New Roman" w:cs="Times New Roman" w:eastAsia="Times New Roman" w:hAnsi="Times New Roman"/>
          <w:sz w:val="22"/>
          <w:szCs w:val="22"/>
          <w:color w:val="auto"/>
        </w:rPr>
      </w:pPr>
    </w:p>
    <w:p>
      <w:pPr>
        <w:ind w:left="1300" w:right="100" w:hanging="320"/>
        <w:spacing w:after="0" w:line="268" w:lineRule="auto"/>
        <w:tabs>
          <w:tab w:leader="none" w:pos="12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million in incremental Canadian withholding taxes (net of U.S. federal tax deduction) paid to repatriate more than $37.0 million from Westwood International Advisors to the U.S.</w:t>
      </w:r>
    </w:p>
    <w:p>
      <w:pPr>
        <w:spacing w:after="0" w:line="2" w:lineRule="exact"/>
        <w:rPr>
          <w:rFonts w:ascii="Times New Roman" w:cs="Times New Roman" w:eastAsia="Times New Roman" w:hAnsi="Times New Roman"/>
          <w:sz w:val="22"/>
          <w:szCs w:val="22"/>
          <w:color w:val="auto"/>
        </w:rPr>
      </w:pPr>
    </w:p>
    <w:p>
      <w:pPr>
        <w:ind w:left="1300" w:right="860" w:hanging="320"/>
        <w:spacing w:after="0" w:line="271" w:lineRule="auto"/>
        <w:tabs>
          <w:tab w:leader="none" w:pos="12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million non-cash write-off of historical Advisory goodwill to reflect lower market capitalization and Advisory net outflows.</w:t>
      </w:r>
    </w:p>
    <w:p>
      <w:pPr>
        <w:spacing w:after="0" w:line="103" w:lineRule="exact"/>
        <w:rPr>
          <w:rFonts w:ascii="Times New Roman" w:cs="Times New Roman" w:eastAsia="Times New Roman" w:hAnsi="Times New Roman"/>
          <w:sz w:val="22"/>
          <w:szCs w:val="22"/>
          <w:color w:val="auto"/>
        </w:rPr>
      </w:pPr>
    </w:p>
    <w:p>
      <w:pPr>
        <w:ind w:left="660" w:right="4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economic loss of $1.7 million, compared with economic earnings of $0.2 million in the second quarter of 2020 and $3.9 million a year ago.</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Brian Casey, Westwood’s President and CEO, commented, "As part of the ongoing execution of our strategic plan that we communicated to you last quarter, Westwood International Advisors has now ceased operations and a significant amount of cash has been moved from Canada to the U.S. for deployment in business initiatives that we consider more attractive over the long-term. These decisive actions, along with the write-off of historical goodwill in our Advisory business, contributed to a loss for the quarter, however the associated accounting effects were primarily non-cash and non-recurring in nature. We have recently celebrated several institutional and retail wins that will fund later this year or early in the New Year.</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48" w:lineRule="auto"/>
        <w:rPr>
          <w:sz w:val="20"/>
          <w:szCs w:val="20"/>
          <w:color w:val="auto"/>
        </w:rPr>
      </w:pPr>
      <w:r>
        <w:rPr>
          <w:rFonts w:ascii="Times New Roman" w:cs="Times New Roman" w:eastAsia="Times New Roman" w:hAnsi="Times New Roman"/>
          <w:sz w:val="22"/>
          <w:szCs w:val="22"/>
          <w:color w:val="auto"/>
        </w:rPr>
        <w:t>Consultant approval ratings continue to move up, our pipeline for new business opportunities is at its highest level in over five years and we have recently been invited to present in finals for several large mandates. Our investment performance is competitive across our wide range of strategies and I am particularly pleased to report that our investment teams weathered the recent market volatility very well. Our new client portal, developed in partnership with InvestCloud, will be released to Westwood Wealth clients over the next few weeks. We are excited to bring this digital experience to our customers and look forward to announcing additional technology platform ventures in the months ahead."</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Revenues were somewhat lower than the second quarter due to closing Emerging Markets strategies, which slightly reduced our average fee rate. Revenues were lower than last year's third quarter principally as a result of lower average assets under management ("AUM").</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AUM of $12.0 billion at September 30, 2020 rose slightly from $11.9 billion at June 30, 2020. The increase reflected market appreciation offset by net outflows mainly in our closed Emerging Markets products while our MLP strategies experienced drawdowns.</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third quarter net loss of $10.3 million exceeded the second quarter's $2.6 million net loss primarily due to the one-time items noted above, partially offset by lower operating expenses and lower foreign currency transaction losses. Diluted earnings per share ("EPS") was a loss of $1.31 compared with a loss of $0.33 for the second quarter. Non-GAAP economic losses of $1.7 million, or $0.22 per share, compared with earnings of $0.2 million, or $0.03 per share, in the second quarter.</w:t>
      </w:r>
    </w:p>
    <w:p>
      <w:pPr>
        <w:spacing w:after="0" w:line="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third quarter net loss of $10.3 million compared unfavorably with net income of $1.1 million in the third quarter of 2019 primarily due to the one-time items noted above, partially offset by lower operating expenses, particularly employee compensation and benefits. Diluted EPS was a loss of $1.31 compared with earnings of $0.13 for the third quarter of 2019. Non-GAAP economic losses were $1.7 million, or $0.22 per share, compared with earnings of $3.9 million, or $0.46 per share for the third quarter of 2019.</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(loss) and Economic EPS are non-GAAP performance measures and are explained and reconciled with the most comparable GAAP numbers in the attached tables.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Westwood will host a conference call to discuss third quarter 2020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November 5, 2020 by dialing 855-859-2056 (U.S. and Canada) or 404-537-3406 (international) and entering the passcode 2732349.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 HOLDINGS GROUP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 is a focused investment management boutique and wealth management firm.</w:t>
      </w:r>
    </w:p>
    <w:p>
      <w:pPr>
        <w:spacing w:after="0" w:line="1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Westwood offers high-conviction equity and outcome-oriented solutions to institutional investors, private wealth clients and financial intermediaries. The firm specializes in several distinct investment capabilities: U.S. Value Equity, Multi-Asset, Convertibles and Liquid Alternatives, available through separate accounts, the Westwood Funds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family of mutual funds and other pooled vehicles. Westwood benefits from significant, broad-based employee ownership and trades on the New York Stock Exchange under the symbol “WHG.” Based in Dallas, Westwood also maintains offices in Boston and Houston.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w:t>
      </w:r>
    </w:p>
    <w:p>
      <w:pPr>
        <w:sectPr>
          <w:pgSz w:w="11900" w:h="16838" w:orient="portrait"/>
          <w:cols w:equalWidth="0" w:num="1">
            <w:col w:w="11240"/>
          </w:cols>
          <w:pgMar w:left="320" w:top="895"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22"/>
          <w:szCs w:val="22"/>
          <w:color w:val="auto"/>
        </w:rPr>
        <w:t>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pacing w:after="0" w:line="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composition and market value of our AUM; our ability to maintain our fee structure in light of competitive fee pressures; the impact of the COVID-19 pandemic; the significant concentration of our revenues in a small number of customers; our ability to avoid termination of client agreements and the related investment redemptions; regulations adversely affecting the financial services industry; competition in the investment management industry; our ability to develop and market new investment strategies successfully; our AUM include investments in foreign companies; our reputation and our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our stock is thinly traded and may be subject to volatility; our organizational documents contain provisions that may prevent or deter another group from paying a premium over the market price to our stockholders to acquire our stock; we are a holding company dependent on the operations and funds of our subsidiaries; our relationships with investment consulting firms; and the other risks detailed from time to time in Westwood’s SEC filings, including, but not limited to, its annual report on Form 10-K for the year ended December 31, 2019 and its quarterly report on Form 10-Q for the quarters ended March 31, 2020, June 30, 2020 and September 30, 2020.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(LOSS)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2020</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Advisory fees: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13,164</w:t>
            </w:r>
          </w:p>
        </w:tc>
        <w:tc>
          <w:tcPr>
            <w:tcW w:w="0" w:type="dxa"/>
            <w:vAlign w:val="bottom"/>
          </w:tcPr>
          <w:p>
            <w:pPr>
              <w:spacing w:after="0"/>
              <w:rPr>
                <w:sz w:val="1"/>
                <w:szCs w:val="1"/>
                <w:color w:val="auto"/>
              </w:rPr>
            </w:pPr>
          </w:p>
        </w:tc>
      </w:tr>
      <w:tr>
        <w:trPr>
          <w:trHeight w:val="224"/>
        </w:trPr>
        <w:tc>
          <w:tcPr>
            <w:tcW w:w="5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Performance-based</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Trust fees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Trust performance-based fees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7"/>
        </w:trPr>
        <w:tc>
          <w:tcPr>
            <w:tcW w:w="57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19,892</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12,072</w:t>
            </w: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Westwood mutual funds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24"/>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Information technology</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expense</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18,366</w:t>
            </w:r>
          </w:p>
        </w:tc>
        <w:tc>
          <w:tcPr>
            <w:tcW w:w="0" w:type="dxa"/>
            <w:vAlign w:val="bottom"/>
          </w:tcPr>
          <w:p>
            <w:pPr>
              <w:spacing w:after="0"/>
              <w:rPr>
                <w:sz w:val="1"/>
                <w:szCs w:val="1"/>
                <w:color w:val="auto"/>
              </w:rPr>
            </w:pPr>
          </w:p>
        </w:tc>
      </w:t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gains (losses) on private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income (expense)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 to net income (loss) upon liquidation of a</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subsidiary</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17"/>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216"/>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Reclassification of cumulative foreign currency translation adjustments to net</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(loss) upon liquidation of a foreign subsidiary</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94"/>
        </w:trPr>
        <w:tc>
          <w:tcPr>
            <w:tcW w:w="5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7,829,478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7,879,698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8,432,598</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7,829,478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7,879,698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8,470,673</w:t>
            </w:r>
          </w:p>
        </w:tc>
        <w:tc>
          <w:tcPr>
            <w:tcW w:w="0" w:type="dxa"/>
            <w:vAlign w:val="bottom"/>
          </w:tcPr>
          <w:p>
            <w:pPr>
              <w:spacing w:after="0"/>
              <w:rPr>
                <w:sz w:val="1"/>
                <w:szCs w:val="1"/>
                <w:color w:val="auto"/>
              </w:rPr>
            </w:pPr>
          </w:p>
        </w:tc>
      </w:tr>
      <w:tr>
        <w:trPr>
          <w:trHeight w:val="95"/>
        </w:trPr>
        <w:tc>
          <w:tcPr>
            <w:tcW w:w="5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Economic Earnings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Economic EPS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5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bl>
    <w:p>
      <w:pPr>
        <w:sectPr>
          <w:pgSz w:w="11900" w:h="16838" w:orient="portrait"/>
          <w:cols w:equalWidth="0" w:num="1">
            <w:col w:w="11220"/>
          </w:cols>
          <w:pgMar w:left="320" w:top="891" w:right="35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(LOSS)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4"/>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8"/>
                <w:szCs w:val="18"/>
                <w:color w:val="auto"/>
              </w:rPr>
            </w:pPr>
          </w:p>
        </w:tc>
        <w:tc>
          <w:tcPr>
            <w:tcW w:w="16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Advisory fees: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44,265</w:t>
            </w:r>
          </w:p>
        </w:tc>
        <w:tc>
          <w:tcPr>
            <w:tcW w:w="0" w:type="dxa"/>
            <w:vAlign w:val="bottom"/>
          </w:tcPr>
          <w:p>
            <w:pPr>
              <w:spacing w:after="0"/>
              <w:rPr>
                <w:sz w:val="1"/>
                <w:szCs w:val="1"/>
                <w:color w:val="auto"/>
              </w:rPr>
            </w:pPr>
          </w:p>
        </w:tc>
      </w:tr>
      <w:tr>
        <w:trPr>
          <w:trHeight w:val="224"/>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Performance-based</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Trust fees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Trust performance-based fees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217"/>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65,463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38,060</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Westwood mutual funds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0" w:type="dxa"/>
            <w:vAlign w:val="bottom"/>
          </w:tcPr>
          <w:p>
            <w:pPr>
              <w:spacing w:after="0"/>
              <w:rPr>
                <w:sz w:val="1"/>
                <w:szCs w:val="1"/>
                <w:color w:val="auto"/>
              </w:rPr>
            </w:pP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Information technology</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expense</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59,862</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income (loss)</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losses on private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income</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 to net income (loss) upon liquidation of a foreign subsidiary</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217"/>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Reclassification of cumulative foreign currency translation adjustments to net income (loss) upon liquidation</w:t>
            </w: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a foreign subsidiary</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8,040,417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8,414,317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8,040,417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8,467,823</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Economic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12,761</w:t>
            </w: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Economic EPS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74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8" w:name="page9"/>
    <w:bookmarkEnd w:id="8"/>
    <w:p>
      <w:pPr>
        <w:ind w:right="520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CONDENSED 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6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49,766</w:t>
            </w:r>
          </w:p>
        </w:tc>
        <w:tc>
          <w:tcPr>
            <w:tcW w:w="0" w:type="dxa"/>
            <w:vAlign w:val="bottom"/>
          </w:tcPr>
          <w:p>
            <w:pPr>
              <w:spacing w:after="0"/>
              <w:rPr>
                <w:sz w:val="1"/>
                <w:szCs w:val="1"/>
                <w:color w:val="auto"/>
              </w:rPr>
            </w:pPr>
          </w:p>
        </w:tc>
      </w:tr>
      <w:tr>
        <w:trPr>
          <w:trHeight w:val="24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50,324</w:t>
            </w:r>
          </w:p>
        </w:tc>
        <w:tc>
          <w:tcPr>
            <w:tcW w:w="0" w:type="dxa"/>
            <w:vAlign w:val="bottom"/>
          </w:tcPr>
          <w:p>
            <w:pPr>
              <w:spacing w:after="0"/>
              <w:rPr>
                <w:sz w:val="1"/>
                <w:szCs w:val="1"/>
                <w:color w:val="auto"/>
              </w:rPr>
            </w:pPr>
          </w:p>
        </w:tc>
      </w:tr>
      <w:tr>
        <w:trPr>
          <w:trHeight w:val="24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37"/>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89,800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investments at fair value</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$8,056 and $7,395</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144,384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4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0" w:type="dxa"/>
            <w:vAlign w:val="bottom"/>
          </w:tcPr>
          <w:p>
            <w:pPr>
              <w:spacing w:after="0"/>
              <w:rPr>
                <w:sz w:val="1"/>
                <w:szCs w:val="1"/>
                <w:color w:val="auto"/>
              </w:rPr>
            </w:pPr>
          </w:p>
        </w:tc>
      </w:tr>
      <w:tr>
        <w:trPr>
          <w:trHeight w:val="243"/>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0" w:type="dxa"/>
            <w:vAlign w:val="bottom"/>
          </w:tcPr>
          <w:p>
            <w:pPr>
              <w:spacing w:after="0"/>
              <w:rPr>
                <w:sz w:val="1"/>
                <w:szCs w:val="1"/>
                <w:color w:val="auto"/>
              </w:rPr>
            </w:pPr>
          </w:p>
        </w:tc>
      </w:tr>
      <w:tr>
        <w:trPr>
          <w:trHeight w:val="237"/>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4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25,000,000 shares, issued 10,542,571 and outstanding</w:t>
            </w: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8,366,811 shares at September 30, 2020; issued 10,306,570 and outstanding 8,881,086 shares at</w:t>
            </w:r>
          </w:p>
        </w:tc>
        <w:tc>
          <w:tcPr>
            <w:tcW w:w="200" w:type="dxa"/>
            <w:vAlign w:val="bottom"/>
          </w:tcPr>
          <w:p>
            <w:pPr>
              <w:spacing w:after="0"/>
              <w:rPr>
                <w:sz w:val="15"/>
                <w:szCs w:val="15"/>
                <w:color w:val="auto"/>
              </w:rPr>
            </w:pPr>
          </w:p>
        </w:tc>
        <w:tc>
          <w:tcPr>
            <w:tcW w:w="1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2019</w:t>
            </w:r>
          </w:p>
        </w:tc>
        <w:tc>
          <w:tcPr>
            <w:tcW w:w="2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203,441</w:t>
            </w:r>
          </w:p>
        </w:tc>
        <w:tc>
          <w:tcPr>
            <w:tcW w:w="0" w:type="dxa"/>
            <w:vAlign w:val="bottom"/>
          </w:tcPr>
          <w:p>
            <w:pPr>
              <w:spacing w:after="0"/>
              <w:rPr>
                <w:sz w:val="1"/>
                <w:szCs w:val="1"/>
                <w:color w:val="auto"/>
              </w:rPr>
            </w:pPr>
          </w:p>
        </w:tc>
      </w:tr>
      <w:tr>
        <w:trPr>
          <w:trHeight w:val="175"/>
        </w:trPr>
        <w:tc>
          <w:tcPr>
            <w:tcW w:w="74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Treasury stock, at cost - 2,175,758 shares at September 30, 2020; 1,425,483 shares at December 31,</w:t>
            </w:r>
          </w:p>
        </w:tc>
        <w:tc>
          <w:tcPr>
            <w:tcW w:w="20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(78,050)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(63,281)</w:t>
            </w:r>
          </w:p>
        </w:tc>
        <w:tc>
          <w:tcPr>
            <w:tcW w:w="0" w:type="dxa"/>
            <w:vAlign w:val="bottom"/>
          </w:tcPr>
          <w:p>
            <w:pPr>
              <w:spacing w:after="0"/>
              <w:rPr>
                <w:sz w:val="1"/>
                <w:szCs w:val="1"/>
                <w:color w:val="auto"/>
              </w:rPr>
            </w:pP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148,287</w:t>
            </w:r>
          </w:p>
        </w:tc>
        <w:tc>
          <w:tcPr>
            <w:tcW w:w="0" w:type="dxa"/>
            <w:vAlign w:val="bottom"/>
          </w:tcPr>
          <w:p>
            <w:pPr>
              <w:spacing w:after="0"/>
              <w:rPr>
                <w:sz w:val="1"/>
                <w:szCs w:val="1"/>
                <w:color w:val="auto"/>
              </w:rPr>
            </w:pPr>
          </w:p>
        </w:tc>
      </w:tr>
      <w:tr>
        <w:trPr>
          <w:trHeight w:val="26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144,384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178,707</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3300" w:type="dxa"/>
            <w:vAlign w:val="bottom"/>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7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23"/>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Unrealized (gains) losses on investments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r>
      <w:tr>
        <w:trPr>
          <w:trHeight w:val="224"/>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r>
      <w:tr>
        <w:trPr>
          <w:trHeight w:val="224"/>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Impairment of goodwill</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Currency translation adjustment reclassification</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(purchases) sales of investments – trading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23,438</w:t>
            </w:r>
          </w:p>
        </w:tc>
      </w:tr>
      <w:tr>
        <w:trPr>
          <w:trHeight w:val="224"/>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current assets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3"/>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23"/>
        </w:trPr>
        <w:tc>
          <w:tcPr>
            <w:tcW w:w="79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7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17"/>
        </w:trPr>
        <w:tc>
          <w:tcPr>
            <w:tcW w:w="794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33,611</w:t>
            </w:r>
          </w:p>
        </w:tc>
      </w:tr>
      <w:tr>
        <w:trPr>
          <w:trHeight w:val="3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w:t>
            </w: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to internally developed software</w:t>
            </w:r>
          </w:p>
        </w:tc>
        <w:tc>
          <w:tcPr>
            <w:tcW w:w="9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3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r>
      <w:tr>
        <w:trPr>
          <w:trHeight w:val="20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treasury stock for employee stock plans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dividends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w:t>
            </w:r>
          </w:p>
        </w:tc>
      </w:tr>
      <w:tr>
        <w:trPr>
          <w:trHeight w:val="3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(24,603)</w:t>
            </w:r>
          </w:p>
        </w:tc>
      </w:tr>
      <w:tr>
        <w:trPr>
          <w:trHeight w:val="217"/>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Effect of currency rate changes on cash</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3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5,923</w:t>
            </w: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52,449</w:t>
            </w:r>
          </w:p>
        </w:tc>
      </w:tr>
      <w:tr>
        <w:trPr>
          <w:trHeight w:val="33"/>
        </w:trPr>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3"/>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r>
      <w:tr>
        <w:trPr>
          <w:trHeight w:val="33"/>
        </w:trPr>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dividends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w:t>
            </w:r>
          </w:p>
        </w:tc>
      </w:tr>
      <w:tr>
        <w:trPr>
          <w:trHeight w:val="33"/>
        </w:trPr>
        <w:tc>
          <w:tcPr>
            <w:tcW w:w="79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Reconciliation of Net Income (Loss) to Economic Earnings (Loss)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180" w:type="dxa"/>
            <w:vAlign w:val="bottom"/>
          </w:tcPr>
          <w:p>
            <w:pPr>
              <w:spacing w:after="0"/>
              <w:rPr>
                <w:sz w:val="20"/>
                <w:szCs w:val="20"/>
                <w:color w:val="auto"/>
              </w:rPr>
            </w:pP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Impairment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Currency translation adjustment reclassification</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8,470,673</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526"/>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80" w:type="dxa"/>
            <w:vAlign w:val="bottom"/>
          </w:tcPr>
          <w:p>
            <w:pPr>
              <w:spacing w:after="0"/>
              <w:rPr>
                <w:sz w:val="20"/>
                <w:szCs w:val="20"/>
                <w:color w:val="auto"/>
              </w:rPr>
            </w:pP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Impairment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Currency translation adjustment reclassification</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20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8,467,823</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00" w:lineRule="exact"/>
        <w:rPr>
          <w:sz w:val="20"/>
          <w:szCs w:val="20"/>
          <w:color w:val="auto"/>
        </w:rPr>
      </w:pPr>
    </w:p>
    <w:p>
      <w:pPr>
        <w:spacing w:after="0" w:line="2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define Economic Earnings (Loss) as net income (loss)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(Loss) for tax deductions related to restricted stock expense or amortization of intangible assets. Economic EPS represents Economic Earnings (Loss) divided by diluted weighted average shares outstanding.</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2020-10-28T15:31:54Z</dcterms:created>
  <dcterms:modified xsi:type="dcterms:W3CDTF">2020-10-28T15:31:54Z</dcterms:modified>
</cp:coreProperties>
</file>