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0"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9"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3140" w:type="dxa"/>
            <w:vAlign w:val="bottom"/>
            <w:gridSpan w:val="3"/>
          </w:tcPr>
          <w:p>
            <w:pPr>
              <w:ind w:left="600"/>
              <w:spacing w:after="0"/>
              <w:rPr>
                <w:sz w:val="20"/>
                <w:szCs w:val="20"/>
                <w:color w:val="auto"/>
              </w:rPr>
            </w:pPr>
            <w:r>
              <w:rPr>
                <w:rFonts w:ascii="Arial" w:cs="Arial" w:eastAsia="Arial" w:hAnsi="Arial"/>
                <w:sz w:val="18"/>
                <w:szCs w:val="18"/>
                <w:b w:val="1"/>
                <w:bCs w:val="1"/>
                <w:color w:val="auto"/>
                <w:w w:val="8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32"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WESTWOOD HOLDINGS GROUP,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1"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3"/>
              </w:rPr>
              <w:t>Delaware</w:t>
            </w:r>
          </w:p>
        </w:tc>
        <w:tc>
          <w:tcPr>
            <w:tcW w:w="6100" w:type="dxa"/>
            <w:vAlign w:val="bottom"/>
          </w:tcPr>
          <w:p>
            <w:pPr>
              <w:jc w:val="right"/>
              <w:ind w:right="479"/>
              <w:spacing w:after="0"/>
              <w:rPr>
                <w:sz w:val="20"/>
                <w:szCs w:val="20"/>
                <w:color w:val="auto"/>
              </w:rPr>
            </w:pPr>
            <w:r>
              <w:rPr>
                <w:rFonts w:ascii="Arial" w:cs="Arial" w:eastAsia="Arial" w:hAnsi="Arial"/>
                <w:sz w:val="18"/>
                <w:szCs w:val="18"/>
                <w:b w:val="1"/>
                <w:bCs w:val="1"/>
                <w:color w:val="auto"/>
              </w:rPr>
              <w:t>75-2969997</w:t>
            </w:r>
          </w:p>
        </w:tc>
      </w:tr>
      <w:tr>
        <w:trPr>
          <w:trHeight w:val="182"/>
        </w:trPr>
        <w:tc>
          <w:tcPr>
            <w:tcW w:w="3560" w:type="dxa"/>
            <w:vAlign w:val="bottom"/>
          </w:tcPr>
          <w:p>
            <w:pPr>
              <w:jc w:val="center"/>
              <w:ind w:right="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100" w:type="dxa"/>
            <w:vAlign w:val="bottom"/>
          </w:tcPr>
          <w:p>
            <w:pPr>
              <w:jc w:val="center"/>
              <w:ind w:left="4019"/>
              <w:spacing w:after="0"/>
              <w:rPr>
                <w:sz w:val="20"/>
                <w:szCs w:val="20"/>
                <w:color w:val="auto"/>
              </w:rPr>
            </w:pPr>
            <w:r>
              <w:rPr>
                <w:rFonts w:ascii="Arial" w:cs="Arial" w:eastAsia="Arial" w:hAnsi="Arial"/>
                <w:sz w:val="14"/>
                <w:szCs w:val="14"/>
                <w:color w:val="auto"/>
                <w:w w:val="98"/>
              </w:rPr>
              <w:t>(IRS Employer Identification No.)</w:t>
            </w:r>
          </w:p>
        </w:tc>
      </w:tr>
      <w:tr>
        <w:trPr>
          <w:trHeight w:val="439"/>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7"/>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Arial" w:cs="Arial" w:eastAsia="Arial" w:hAnsi="Arial"/>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Arial" w:cs="Arial" w:eastAsia="Arial" w:hAnsi="Arial"/>
                <w:sz w:val="18"/>
                <w:szCs w:val="18"/>
                <w:b w:val="1"/>
                <w:bCs w:val="1"/>
                <w:color w:val="auto"/>
              </w:rPr>
              <w:t>75201</w:t>
            </w:r>
          </w:p>
        </w:tc>
      </w:tr>
      <w:tr>
        <w:trPr>
          <w:trHeight w:val="182"/>
        </w:trPr>
        <w:tc>
          <w:tcPr>
            <w:tcW w:w="3560" w:type="dxa"/>
            <w:vAlign w:val="bottom"/>
          </w:tcPr>
          <w:p>
            <w:pPr>
              <w:jc w:val="center"/>
              <w:ind w:right="17"/>
              <w:spacing w:after="0"/>
              <w:rPr>
                <w:sz w:val="20"/>
                <w:szCs w:val="20"/>
                <w:color w:val="auto"/>
              </w:rPr>
            </w:pPr>
            <w:r>
              <w:rPr>
                <w:rFonts w:ascii="Arial" w:cs="Arial" w:eastAsia="Arial" w:hAnsi="Arial"/>
                <w:sz w:val="14"/>
                <w:szCs w:val="14"/>
                <w:color w:val="auto"/>
                <w:w w:val="95"/>
              </w:rPr>
              <w:t>(Address of principal executive office)</w:t>
            </w:r>
          </w:p>
        </w:tc>
        <w:tc>
          <w:tcPr>
            <w:tcW w:w="6100" w:type="dxa"/>
            <w:vAlign w:val="bottom"/>
          </w:tcPr>
          <w:p>
            <w:pPr>
              <w:jc w:val="center"/>
              <w:ind w:left="4019"/>
              <w:spacing w:after="0"/>
              <w:rPr>
                <w:sz w:val="20"/>
                <w:szCs w:val="20"/>
                <w:color w:val="auto"/>
              </w:rPr>
            </w:pPr>
            <w:r>
              <w:rPr>
                <w:rFonts w:ascii="Arial" w:cs="Arial" w:eastAsia="Arial" w:hAnsi="Arial"/>
                <w:sz w:val="14"/>
                <w:szCs w:val="14"/>
                <w:color w:val="auto"/>
                <w:w w:val="96"/>
              </w:rPr>
              <w:t>(Zip Code)</w:t>
            </w:r>
          </w:p>
        </w:tc>
      </w:tr>
      <w:tr>
        <w:trPr>
          <w:trHeight w:val="358"/>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Arial" w:cs="Arial" w:eastAsia="Arial" w:hAnsi="Arial"/>
                <w:sz w:val="18"/>
                <w:szCs w:val="18"/>
                <w:b w:val="1"/>
                <w:bCs w:val="1"/>
                <w:color w:val="auto"/>
              </w:rPr>
              <w:t>(214) 756-6900</w:t>
            </w:r>
          </w:p>
        </w:tc>
      </w:tr>
      <w:tr>
        <w:trPr>
          <w:trHeight w:val="182"/>
        </w:trPr>
        <w:tc>
          <w:tcPr>
            <w:tcW w:w="3560" w:type="dxa"/>
            <w:vAlign w:val="bottom"/>
          </w:tcPr>
          <w:p>
            <w:pPr>
              <w:spacing w:after="0"/>
              <w:rPr>
                <w:sz w:val="15"/>
                <w:szCs w:val="15"/>
                <w:color w:val="auto"/>
              </w:rPr>
            </w:pPr>
          </w:p>
        </w:tc>
        <w:tc>
          <w:tcPr>
            <w:tcW w:w="6100" w:type="dxa"/>
            <w:vAlign w:val="bottom"/>
          </w:tcPr>
          <w:p>
            <w:pPr>
              <w:jc w:val="center"/>
              <w:ind w:right="2739"/>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9" w:lineRule="exact"/>
        <w:rPr>
          <w:sz w:val="24"/>
          <w:szCs w:val="24"/>
          <w:color w:val="auto"/>
        </w:rPr>
      </w:pPr>
    </w:p>
    <w:tbl>
      <w:tblPr>
        <w:tblLayout w:type="fixed"/>
        <w:tblInd w:w="86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4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74"/>
        </w:trPr>
        <w:tc>
          <w:tcPr>
            <w:tcW w:w="6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Title of Each Class</w:t>
            </w: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8"/>
        </w:trPr>
        <w:tc>
          <w:tcPr>
            <w:tcW w:w="2760" w:type="dxa"/>
            <w:vAlign w:val="bottom"/>
            <w:gridSpan w:val="3"/>
          </w:tcPr>
          <w:p>
            <w:pPr>
              <w:jc w:val="center"/>
              <w:ind w:right="360"/>
              <w:spacing w:after="0"/>
              <w:rPr>
                <w:sz w:val="20"/>
                <w:szCs w:val="20"/>
                <w:color w:val="auto"/>
              </w:rPr>
            </w:pPr>
            <w:r>
              <w:rPr>
                <w:rFonts w:ascii="Arial" w:cs="Arial" w:eastAsia="Arial" w:hAnsi="Arial"/>
                <w:sz w:val="14"/>
                <w:szCs w:val="14"/>
                <w:color w:val="auto"/>
                <w:w w:val="92"/>
              </w:rPr>
              <w:t>Common stock, par value $0.01 per share</w:t>
            </w:r>
          </w:p>
        </w:tc>
        <w:tc>
          <w:tcPr>
            <w:tcW w:w="1520" w:type="dxa"/>
            <w:vAlign w:val="bottom"/>
          </w:tcPr>
          <w:p>
            <w:pPr>
              <w:spacing w:after="0"/>
              <w:rPr>
                <w:sz w:val="17"/>
                <w:szCs w:val="17"/>
                <w:color w:val="auto"/>
              </w:rPr>
            </w:pPr>
          </w:p>
        </w:tc>
        <w:tc>
          <w:tcPr>
            <w:tcW w:w="2420" w:type="dxa"/>
            <w:vAlign w:val="bottom"/>
            <w:gridSpan w:val="2"/>
          </w:tcPr>
          <w:p>
            <w:pPr>
              <w:ind w:left="300"/>
              <w:spacing w:after="0"/>
              <w:rPr>
                <w:sz w:val="20"/>
                <w:szCs w:val="20"/>
                <w:color w:val="auto"/>
              </w:rPr>
            </w:pPr>
            <w:r>
              <w:rPr>
                <w:rFonts w:ascii="Arial" w:cs="Arial" w:eastAsia="Arial" w:hAnsi="Arial"/>
                <w:sz w:val="14"/>
                <w:szCs w:val="14"/>
                <w:color w:val="auto"/>
              </w:rPr>
              <w:t>WHG</w:t>
            </w:r>
          </w:p>
        </w:tc>
        <w:tc>
          <w:tcPr>
            <w:tcW w:w="2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28"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8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96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ind w:right="42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620"/>
        <w:spacing w:after="0" w:line="21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$0.01 per share, outstanding as of April 23, 2021: 8,296,956.</w:t>
      </w:r>
    </w:p>
    <w:p>
      <w:pPr>
        <w:ind w:left="158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62"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PART I</w:t>
            </w:r>
          </w:p>
        </w:tc>
        <w:tc>
          <w:tcPr>
            <w:tcW w:w="864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440" w:type="dxa"/>
            <w:vAlign w:val="bottom"/>
          </w:tcPr>
          <w:p>
            <w:pPr>
              <w:jc w:val="right"/>
              <w:ind w:right="459"/>
              <w:spacing w:after="0"/>
              <w:rPr>
                <w:sz w:val="20"/>
                <w:szCs w:val="20"/>
                <w:color w:val="auto"/>
              </w:rPr>
            </w:pPr>
            <w:r>
              <w:rPr>
                <w:rFonts w:ascii="Arial" w:cs="Arial" w:eastAsia="Arial" w:hAnsi="Arial"/>
                <w:sz w:val="16"/>
                <w:szCs w:val="16"/>
                <w:color w:val="auto"/>
              </w:rPr>
              <w:t>PAGE</w:t>
            </w:r>
          </w:p>
        </w:tc>
      </w:tr>
      <w:tr>
        <w:trPr>
          <w:trHeight w:val="324"/>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1.</w:t>
            </w:r>
          </w:p>
        </w:tc>
        <w:tc>
          <w:tcPr>
            <w:tcW w:w="864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440" w:type="dxa"/>
            <w:vAlign w:val="bottom"/>
          </w:tcPr>
          <w:p>
            <w:pPr>
              <w:spacing w:after="0"/>
              <w:rPr>
                <w:sz w:val="24"/>
                <w:szCs w:val="24"/>
                <w:color w:val="auto"/>
              </w:rPr>
            </w:pPr>
          </w:p>
        </w:tc>
      </w:tr>
      <w:tr>
        <w:trPr>
          <w:trHeight w:val="289"/>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Borders>
              <w:bottom w:val="single" w:sz="8" w:color="0000FF"/>
            </w:tcBorders>
            <w:gridSpan w:val="9"/>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 xml:space="preserve">Condensed Consolidated Balance Sheets as of March 31, </w:t>
              </w:r>
            </w:hyperlink>
            <w:r>
              <w:rPr>
                <w:rFonts w:ascii="Arial" w:cs="Arial" w:eastAsia="Arial" w:hAnsi="Arial"/>
                <w:sz w:val="16"/>
                <w:szCs w:val="16"/>
                <w:color w:val="0000FF"/>
                <w:w w:val="89"/>
              </w:rPr>
              <w:t xml:space="preserve">2021 </w:t>
            </w:r>
            <w:hyperlink w:anchor="page3">
              <w:r>
                <w:rPr>
                  <w:rFonts w:ascii="Arial" w:cs="Arial" w:eastAsia="Arial" w:hAnsi="Arial"/>
                  <w:sz w:val="16"/>
                  <w:szCs w:val="16"/>
                  <w:color w:val="0000FF"/>
                  <w:w w:val="89"/>
                </w:rPr>
                <w:t xml:space="preserve">and December 31, </w:t>
              </w:r>
            </w:hyperlink>
            <w:r>
              <w:rPr>
                <w:rFonts w:ascii="Arial" w:cs="Arial" w:eastAsia="Arial" w:hAnsi="Arial"/>
                <w:sz w:val="16"/>
                <w:szCs w:val="16"/>
                <w:color w:val="0000FF"/>
                <w:w w:val="89"/>
              </w:rPr>
              <w:t>2020</w:t>
            </w:r>
          </w:p>
        </w:tc>
        <w:tc>
          <w:tcPr>
            <w:tcW w:w="2980" w:type="dxa"/>
            <w:vAlign w:val="bottom"/>
            <w:gridSpan w:val="5"/>
          </w:tcPr>
          <w:p>
            <w:pPr>
              <w:spacing w:after="0"/>
              <w:rPr>
                <w:sz w:val="24"/>
                <w:szCs w:val="24"/>
                <w:color w:val="auto"/>
              </w:rPr>
            </w:pPr>
          </w:p>
        </w:tc>
        <w:tc>
          <w:tcPr>
            <w:tcW w:w="1440" w:type="dxa"/>
            <w:vAlign w:val="bottom"/>
          </w:tcPr>
          <w:p>
            <w:pPr>
              <w:jc w:val="right"/>
              <w:ind w:right="299"/>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40" w:type="dxa"/>
            <w:vAlign w:val="bottom"/>
            <w:gridSpan w:val="14"/>
          </w:tcPr>
          <w:p>
            <w:pPr>
              <w:spacing w:after="0"/>
              <w:rPr>
                <w:rFonts w:ascii="Arial" w:cs="Arial" w:eastAsia="Arial" w:hAnsi="Arial"/>
                <w:sz w:val="16"/>
                <w:szCs w:val="16"/>
                <w:color w:val="0000FF"/>
                <w:w w:val="96"/>
              </w:rPr>
            </w:pPr>
            <w:hyperlink w:anchor="page3">
              <w:r>
                <w:rPr>
                  <w:rFonts w:ascii="Arial" w:cs="Arial" w:eastAsia="Arial" w:hAnsi="Arial"/>
                  <w:sz w:val="16"/>
                  <w:szCs w:val="16"/>
                  <w:color w:val="0000FF"/>
                  <w:w w:val="96"/>
                </w:rPr>
                <w:t xml:space="preserve">Condensed Consolidated Statements of Comprehensive Income (Loss) for the Three Months Ended March 31, </w:t>
              </w:r>
            </w:hyperlink>
            <w:r>
              <w:rPr>
                <w:rFonts w:ascii="Arial" w:cs="Arial" w:eastAsia="Arial" w:hAnsi="Arial"/>
                <w:sz w:val="16"/>
                <w:szCs w:val="16"/>
                <w:color w:val="0000FF"/>
                <w:w w:val="96"/>
              </w:rPr>
              <w:t xml:space="preserve">2021 </w:t>
            </w:r>
            <w:hyperlink w:anchor="page3">
              <w:r>
                <w:rPr>
                  <w:rFonts w:ascii="Arial" w:cs="Arial" w:eastAsia="Arial" w:hAnsi="Arial"/>
                  <w:sz w:val="16"/>
                  <w:szCs w:val="16"/>
                  <w:color w:val="0000FF"/>
                  <w:w w:val="96"/>
                </w:rPr>
                <w:t xml:space="preserve">and </w:t>
              </w:r>
            </w:hyperlink>
            <w:r>
              <w:rPr>
                <w:rFonts w:ascii="Arial" w:cs="Arial" w:eastAsia="Arial" w:hAnsi="Arial"/>
                <w:sz w:val="16"/>
                <w:szCs w:val="16"/>
                <w:color w:val="0000FF"/>
                <w:w w:val="96"/>
              </w:rPr>
              <w:t>2020</w:t>
            </w:r>
          </w:p>
        </w:tc>
        <w:tc>
          <w:tcPr>
            <w:tcW w:w="1440" w:type="dxa"/>
            <w:vAlign w:val="bottom"/>
          </w:tcPr>
          <w:p>
            <w:pPr>
              <w:jc w:val="right"/>
              <w:ind w:right="299"/>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80" w:type="dxa"/>
            <w:vAlign w:val="bottom"/>
            <w:tcBorders>
              <w:top w:val="single" w:sz="8" w:color="0000FF"/>
              <w:bottom w:val="single" w:sz="8" w:color="0000FF"/>
            </w:tcBorders>
            <w:gridSpan w:val="12"/>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 xml:space="preserve">Condensed Consolidated Statement of Stockholders’ Equity for the Three Months Ended March 31, </w:t>
              </w:r>
            </w:hyperlink>
            <w:r>
              <w:rPr>
                <w:rFonts w:ascii="Arial" w:cs="Arial" w:eastAsia="Arial" w:hAnsi="Arial"/>
                <w:sz w:val="16"/>
                <w:szCs w:val="16"/>
                <w:color w:val="0000FF"/>
                <w:w w:val="91"/>
              </w:rPr>
              <w:t xml:space="preserve">2021 </w:t>
            </w:r>
            <w:hyperlink w:anchor="page4">
              <w:r>
                <w:rPr>
                  <w:rFonts w:ascii="Arial" w:cs="Arial" w:eastAsia="Arial" w:hAnsi="Arial"/>
                  <w:sz w:val="16"/>
                  <w:szCs w:val="16"/>
                  <w:color w:val="0000FF"/>
                  <w:w w:val="91"/>
                </w:rPr>
                <w:t xml:space="preserve">and </w:t>
              </w:r>
            </w:hyperlink>
            <w:r>
              <w:rPr>
                <w:rFonts w:ascii="Arial" w:cs="Arial" w:eastAsia="Arial" w:hAnsi="Arial"/>
                <w:sz w:val="16"/>
                <w:szCs w:val="16"/>
                <w:color w:val="0000FF"/>
                <w:w w:val="91"/>
              </w:rPr>
              <w:t>2020</w:t>
            </w:r>
          </w:p>
        </w:tc>
        <w:tc>
          <w:tcPr>
            <w:tcW w:w="68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40" w:type="dxa"/>
            <w:vAlign w:val="bottom"/>
            <w:gridSpan w:val="14"/>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Condensed Consolidated Statements of Cash Flows for the Three Months Ended March 31, </w:t>
              </w:r>
            </w:hyperlink>
            <w:r>
              <w:rPr>
                <w:rFonts w:ascii="Arial" w:cs="Arial" w:eastAsia="Arial" w:hAnsi="Arial"/>
                <w:sz w:val="16"/>
                <w:szCs w:val="16"/>
                <w:color w:val="0000FF"/>
              </w:rPr>
              <w:t xml:space="preserve">2021 </w:t>
            </w:r>
            <w:hyperlink w:anchor="page5">
              <w:r>
                <w:rPr>
                  <w:rFonts w:ascii="Arial" w:cs="Arial" w:eastAsia="Arial" w:hAnsi="Arial"/>
                  <w:sz w:val="16"/>
                  <w:szCs w:val="16"/>
                  <w:color w:val="0000FF"/>
                </w:rPr>
                <w:t xml:space="preserve">and </w:t>
              </w:r>
            </w:hyperlink>
            <w:r>
              <w:rPr>
                <w:rFonts w:ascii="Arial" w:cs="Arial" w:eastAsia="Arial" w:hAnsi="Arial"/>
                <w:sz w:val="16"/>
                <w:szCs w:val="16"/>
                <w:color w:val="0000FF"/>
              </w:rPr>
              <w:t>2020</w:t>
            </w:r>
          </w:p>
        </w:tc>
        <w:tc>
          <w:tcPr>
            <w:tcW w:w="1440" w:type="dxa"/>
            <w:vAlign w:val="bottom"/>
          </w:tcPr>
          <w:p>
            <w:pPr>
              <w:jc w:val="right"/>
              <w:ind w:right="299"/>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Notes to Condensed Consolidated Financial Statements</w:t>
              </w:r>
            </w:hyperlink>
          </w:p>
        </w:tc>
        <w:tc>
          <w:tcPr>
            <w:tcW w:w="3320" w:type="dxa"/>
            <w:vAlign w:val="bottom"/>
            <w:tcBorders>
              <w:top w:val="single" w:sz="8" w:color="0000FF"/>
            </w:tcBorders>
            <w:gridSpan w:val="5"/>
          </w:tcPr>
          <w:p>
            <w:pPr>
              <w:spacing w:after="0"/>
              <w:rPr>
                <w:sz w:val="21"/>
                <w:szCs w:val="21"/>
                <w:color w:val="auto"/>
              </w:rPr>
            </w:pPr>
          </w:p>
        </w:tc>
        <w:tc>
          <w:tcPr>
            <w:tcW w:w="1720" w:type="dxa"/>
            <w:vAlign w:val="bottom"/>
            <w:gridSpan w:val="3"/>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FF"/>
            </w:tcBorders>
            <w:gridSpan w:val="10"/>
          </w:tcPr>
          <w:p>
            <w:pPr>
              <w:spacing w:after="0"/>
              <w:rPr>
                <w:rFonts w:ascii="Arial" w:cs="Arial" w:eastAsia="Arial" w:hAnsi="Arial"/>
                <w:sz w:val="16"/>
                <w:szCs w:val="16"/>
                <w:color w:val="0000FF"/>
                <w:w w:val="92"/>
              </w:rPr>
            </w:pPr>
            <w:hyperlink w:anchor="page15">
              <w:r>
                <w:rPr>
                  <w:rFonts w:ascii="Arial" w:cs="Arial" w:eastAsia="Arial" w:hAnsi="Arial"/>
                  <w:sz w:val="16"/>
                  <w:szCs w:val="16"/>
                  <w:color w:val="0000FF"/>
                  <w:w w:val="92"/>
                </w:rPr>
                <w:t>Management’s Discussion and Analysis of Financial Condition and Results of Operations</w:t>
              </w:r>
            </w:hyperlink>
          </w:p>
        </w:tc>
        <w:tc>
          <w:tcPr>
            <w:tcW w:w="2820" w:type="dxa"/>
            <w:vAlign w:val="bottom"/>
            <w:gridSpan w:val="4"/>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15">
              <w:r>
                <w:rPr>
                  <w:rFonts w:ascii="Arial" w:cs="Arial" w:eastAsia="Arial" w:hAnsi="Arial"/>
                  <w:sz w:val="16"/>
                  <w:szCs w:val="16"/>
                  <w:color w:val="0000FF"/>
                </w:rPr>
                <w:t>14</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FF"/>
            </w:tcBorders>
            <w:gridSpan w:val="8"/>
          </w:tcPr>
          <w:p>
            <w:pPr>
              <w:spacing w:after="0"/>
              <w:rPr>
                <w:rFonts w:ascii="Arial" w:cs="Arial" w:eastAsia="Arial" w:hAnsi="Arial"/>
                <w:sz w:val="16"/>
                <w:szCs w:val="16"/>
                <w:color w:val="0000FF"/>
                <w:w w:val="93"/>
              </w:rPr>
            </w:pPr>
            <w:hyperlink w:anchor="page23">
              <w:r>
                <w:rPr>
                  <w:rFonts w:ascii="Arial" w:cs="Arial" w:eastAsia="Arial" w:hAnsi="Arial"/>
                  <w:sz w:val="16"/>
                  <w:szCs w:val="16"/>
                  <w:color w:val="0000FF"/>
                  <w:w w:val="93"/>
                </w:rPr>
                <w:t>Quantitative and Qualitative Disclosures About Market Risk</w:t>
              </w:r>
            </w:hyperlink>
          </w:p>
        </w:tc>
        <w:tc>
          <w:tcPr>
            <w:tcW w:w="4700" w:type="dxa"/>
            <w:vAlign w:val="bottom"/>
            <w:gridSpan w:val="6"/>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23">
              <w:r>
                <w:rPr>
                  <w:rFonts w:ascii="Arial" w:cs="Arial" w:eastAsia="Arial" w:hAnsi="Arial"/>
                  <w:sz w:val="16"/>
                  <w:szCs w:val="16"/>
                  <w:color w:val="0000FF"/>
                </w:rPr>
                <w:t>22</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4"/>
          </w:tcPr>
          <w:p>
            <w:pPr>
              <w:spacing w:after="0"/>
              <w:rPr>
                <w:rFonts w:ascii="Arial" w:cs="Arial" w:eastAsia="Arial" w:hAnsi="Arial"/>
                <w:sz w:val="16"/>
                <w:szCs w:val="16"/>
                <w:color w:val="0000FF"/>
                <w:w w:val="89"/>
              </w:rPr>
            </w:pPr>
            <w:hyperlink w:anchor="page24">
              <w:r>
                <w:rPr>
                  <w:rFonts w:ascii="Arial" w:cs="Arial" w:eastAsia="Arial" w:hAnsi="Arial"/>
                  <w:sz w:val="16"/>
                  <w:szCs w:val="16"/>
                  <w:color w:val="0000FF"/>
                  <w:w w:val="89"/>
                </w:rPr>
                <w:t>Controls and Procedures</w:t>
              </w:r>
            </w:hyperlink>
          </w:p>
        </w:tc>
        <w:tc>
          <w:tcPr>
            <w:tcW w:w="7040" w:type="dxa"/>
            <w:vAlign w:val="bottom"/>
            <w:gridSpan w:val="10"/>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24">
              <w:r>
                <w:rPr>
                  <w:rFonts w:ascii="Arial" w:cs="Arial" w:eastAsia="Arial" w:hAnsi="Arial"/>
                  <w:sz w:val="16"/>
                  <w:szCs w:val="16"/>
                  <w:color w:val="0000FF"/>
                </w:rPr>
                <w:t>22</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PART II</w:t>
            </w:r>
          </w:p>
        </w:tc>
        <w:tc>
          <w:tcPr>
            <w:tcW w:w="1700" w:type="dxa"/>
            <w:vAlign w:val="bottom"/>
            <w:tcBorders>
              <w:bottom w:val="single" w:sz="8" w:color="0000FF"/>
            </w:tcBorders>
            <w:gridSpan w:val="5"/>
          </w:tcPr>
          <w:p>
            <w:pPr>
              <w:spacing w:after="0"/>
              <w:rPr>
                <w:rFonts w:ascii="Arial" w:cs="Arial" w:eastAsia="Arial" w:hAnsi="Arial"/>
                <w:sz w:val="16"/>
                <w:szCs w:val="16"/>
                <w:color w:val="0000FF"/>
                <w:w w:val="97"/>
              </w:rPr>
            </w:pPr>
            <w:hyperlink w:anchor="page24">
              <w:r>
                <w:rPr>
                  <w:rFonts w:ascii="Arial" w:cs="Arial" w:eastAsia="Arial" w:hAnsi="Arial"/>
                  <w:sz w:val="16"/>
                  <w:szCs w:val="16"/>
                  <w:color w:val="0000FF"/>
                  <w:w w:val="97"/>
                </w:rPr>
                <w:t>OTHER INFORMATION</w:t>
              </w:r>
            </w:hyperlink>
          </w:p>
        </w:tc>
        <w:tc>
          <w:tcPr>
            <w:tcW w:w="6940" w:type="dxa"/>
            <w:vAlign w:val="bottom"/>
            <w:gridSpan w:val="9"/>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24">
              <w:r>
                <w:rPr>
                  <w:rFonts w:ascii="Arial" w:cs="Arial" w:eastAsia="Arial" w:hAnsi="Arial"/>
                  <w:sz w:val="16"/>
                  <w:szCs w:val="16"/>
                  <w:color w:val="0000FF"/>
                </w:rPr>
                <w:t>23</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1.</w:t>
            </w:r>
          </w:p>
        </w:tc>
        <w:tc>
          <w:tcPr>
            <w:tcW w:w="8640" w:type="dxa"/>
            <w:vAlign w:val="bottom"/>
            <w:gridSpan w:val="14"/>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Legal Proceedings</w:t>
              </w:r>
            </w:hyperlink>
          </w:p>
        </w:tc>
        <w:tc>
          <w:tcPr>
            <w:tcW w:w="1440" w:type="dxa"/>
            <w:vAlign w:val="bottom"/>
          </w:tcPr>
          <w:p>
            <w:pPr>
              <w:jc w:val="right"/>
              <w:ind w:right="299"/>
              <w:spacing w:after="0"/>
              <w:rPr>
                <w:rFonts w:ascii="Arial" w:cs="Arial" w:eastAsia="Arial" w:hAnsi="Arial"/>
                <w:sz w:val="16"/>
                <w:szCs w:val="16"/>
                <w:color w:val="0000FF"/>
              </w:rPr>
            </w:pPr>
            <w:hyperlink w:anchor="page25">
              <w:r>
                <w:rPr>
                  <w:rFonts w:ascii="Arial" w:cs="Arial" w:eastAsia="Arial" w:hAnsi="Arial"/>
                  <w:sz w:val="16"/>
                  <w:szCs w:val="16"/>
                  <w:color w:val="0000FF"/>
                </w:rPr>
                <w:t>23</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1A.</w:t>
            </w:r>
          </w:p>
        </w:tc>
        <w:tc>
          <w:tcPr>
            <w:tcW w:w="82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25">
              <w:r>
                <w:rPr>
                  <w:rFonts w:ascii="Arial" w:cs="Arial" w:eastAsia="Arial" w:hAnsi="Arial"/>
                  <w:sz w:val="16"/>
                  <w:szCs w:val="16"/>
                  <w:color w:val="0000FF"/>
                  <w:w w:val="89"/>
                </w:rPr>
                <w:t>Risk Factors</w:t>
              </w:r>
            </w:hyperlink>
          </w:p>
        </w:tc>
        <w:tc>
          <w:tcPr>
            <w:tcW w:w="380" w:type="dxa"/>
            <w:vAlign w:val="bottom"/>
            <w:tcBorders>
              <w:top w:val="single" w:sz="8" w:color="0000FF"/>
            </w:tcBorders>
          </w:tcPr>
          <w:p>
            <w:pPr>
              <w:spacing w:after="0"/>
              <w:rPr>
                <w:sz w:val="21"/>
                <w:szCs w:val="21"/>
                <w:color w:val="auto"/>
              </w:rPr>
            </w:pPr>
          </w:p>
        </w:tc>
        <w:tc>
          <w:tcPr>
            <w:tcW w:w="7440" w:type="dxa"/>
            <w:vAlign w:val="bottom"/>
            <w:gridSpan w:val="11"/>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25">
              <w:r>
                <w:rPr>
                  <w:rFonts w:ascii="Arial" w:cs="Arial" w:eastAsia="Arial" w:hAnsi="Arial"/>
                  <w:sz w:val="16"/>
                  <w:szCs w:val="16"/>
                  <w:color w:val="0000FF"/>
                </w:rPr>
                <w:t>23</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FF"/>
            </w:tcBorders>
            <w:gridSpan w:val="7"/>
          </w:tcPr>
          <w:p>
            <w:pPr>
              <w:spacing w:after="0"/>
              <w:rPr>
                <w:rFonts w:ascii="Arial" w:cs="Arial" w:eastAsia="Arial" w:hAnsi="Arial"/>
                <w:sz w:val="16"/>
                <w:szCs w:val="16"/>
                <w:color w:val="0000FF"/>
                <w:w w:val="90"/>
              </w:rPr>
            </w:pPr>
            <w:hyperlink w:anchor="page25">
              <w:r>
                <w:rPr>
                  <w:rFonts w:ascii="Arial" w:cs="Arial" w:eastAsia="Arial" w:hAnsi="Arial"/>
                  <w:sz w:val="16"/>
                  <w:szCs w:val="16"/>
                  <w:color w:val="0000FF"/>
                  <w:w w:val="90"/>
                </w:rPr>
                <w:t>Unregistered Sales of Equity Securities and Use of Proceeds</w:t>
              </w:r>
            </w:hyperlink>
          </w:p>
        </w:tc>
        <w:tc>
          <w:tcPr>
            <w:tcW w:w="4720" w:type="dxa"/>
            <w:vAlign w:val="bottom"/>
            <w:gridSpan w:val="7"/>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25">
              <w:r>
                <w:rPr>
                  <w:rFonts w:ascii="Arial" w:cs="Arial" w:eastAsia="Arial" w:hAnsi="Arial"/>
                  <w:sz w:val="16"/>
                  <w:szCs w:val="16"/>
                  <w:color w:val="0000FF"/>
                </w:rPr>
                <w:t>23</w:t>
              </w:r>
            </w:hyperlink>
          </w:p>
        </w:tc>
      </w:tr>
      <w:tr>
        <w:trPr>
          <w:trHeight w:val="250"/>
        </w:trPr>
        <w:tc>
          <w:tcPr>
            <w:tcW w:w="1160" w:type="dxa"/>
            <w:vAlign w:val="bottom"/>
            <w:gridSpan w:val="3"/>
          </w:tcPr>
          <w:p>
            <w:pPr>
              <w:ind w:left="80"/>
              <w:spacing w:after="0"/>
              <w:rPr>
                <w:sz w:val="20"/>
                <w:szCs w:val="20"/>
                <w:color w:val="auto"/>
              </w:rPr>
            </w:pPr>
            <w:r>
              <w:rPr>
                <w:rFonts w:ascii="Arial" w:cs="Arial" w:eastAsia="Arial" w:hAnsi="Arial"/>
                <w:sz w:val="16"/>
                <w:szCs w:val="16"/>
                <w:color w:val="auto"/>
              </w:rPr>
              <w:t>Item 6.</w:t>
            </w:r>
          </w:p>
        </w:tc>
        <w:tc>
          <w:tcPr>
            <w:tcW w:w="8640" w:type="dxa"/>
            <w:vAlign w:val="bottom"/>
            <w:gridSpan w:val="14"/>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Exhibits</w:t>
              </w:r>
            </w:hyperlink>
          </w:p>
        </w:tc>
        <w:tc>
          <w:tcPr>
            <w:tcW w:w="1440" w:type="dxa"/>
            <w:vAlign w:val="bottom"/>
          </w:tcPr>
          <w:p>
            <w:pPr>
              <w:jc w:val="right"/>
              <w:ind w:right="299"/>
              <w:spacing w:after="0"/>
              <w:rPr>
                <w:rFonts w:ascii="Arial" w:cs="Arial" w:eastAsia="Arial" w:hAnsi="Arial"/>
                <w:sz w:val="16"/>
                <w:szCs w:val="16"/>
                <w:color w:val="0000FF"/>
              </w:rPr>
            </w:pPr>
            <w:hyperlink w:anchor="page25">
              <w:r>
                <w:rPr>
                  <w:rFonts w:ascii="Arial" w:cs="Arial" w:eastAsia="Arial" w:hAnsi="Arial"/>
                  <w:sz w:val="16"/>
                  <w:szCs w:val="16"/>
                  <w:color w:val="0000FF"/>
                </w:rPr>
                <w:t>24</w:t>
              </w:r>
            </w:hyperlink>
          </w:p>
        </w:tc>
      </w:tr>
      <w:tr>
        <w:trPr>
          <w:trHeight w:val="250"/>
        </w:trPr>
        <w:tc>
          <w:tcPr>
            <w:tcW w:w="1160" w:type="dxa"/>
            <w:vAlign w:val="bottom"/>
            <w:gridSpan w:val="3"/>
          </w:tcPr>
          <w:p>
            <w:pPr>
              <w:ind w:left="120"/>
              <w:spacing w:after="0"/>
              <w:rPr>
                <w:rFonts w:ascii="Arial" w:cs="Arial" w:eastAsia="Arial" w:hAnsi="Arial"/>
                <w:sz w:val="16"/>
                <w:szCs w:val="16"/>
                <w:color w:val="0000FF"/>
              </w:rPr>
            </w:pPr>
            <w:hyperlink w:anchor="page26">
              <w:r>
                <w:rPr>
                  <w:rFonts w:ascii="Arial" w:cs="Arial" w:eastAsia="Arial" w:hAnsi="Arial"/>
                  <w:sz w:val="16"/>
                  <w:szCs w:val="16"/>
                  <w:color w:val="0000FF"/>
                </w:rPr>
                <w:t>Signatures</w:t>
              </w:r>
            </w:hyperlink>
          </w:p>
        </w:tc>
        <w:tc>
          <w:tcPr>
            <w:tcW w:w="54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299"/>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r>
      <w:tr>
        <w:trPr>
          <w:trHeight w:val="2795"/>
        </w:trPr>
        <w:tc>
          <w:tcPr>
            <w:tcW w:w="12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0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Investments, at fair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69,542</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Prepaid income taxes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06"/>
        </w:trPr>
        <w:tc>
          <w:tcPr>
            <w:tcW w:w="81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101,537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96,314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Noncurrent investments at fair value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3,527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6,103</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13,535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$8,099 and $8,056</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149,152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Dividends payable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Compensation and benefits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7,448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Accrued stock repurchases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7"/>
        </w:trPr>
        <w:tc>
          <w:tcPr>
            <w:tcW w:w="81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11,794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dividends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w:t>
            </w:r>
          </w:p>
        </w:tc>
        <w:tc>
          <w:tcPr>
            <w:tcW w:w="0" w:type="dxa"/>
            <w:vAlign w:val="bottom"/>
          </w:tcPr>
          <w:p>
            <w:pPr>
              <w:spacing w:after="0"/>
              <w:rPr>
                <w:sz w:val="1"/>
                <w:szCs w:val="1"/>
                <w:color w:val="auto"/>
              </w:rPr>
            </w:pPr>
          </w:p>
        </w:tc>
      </w:tr>
      <w:tr>
        <w:trPr>
          <w:trHeight w:val="206"/>
        </w:trPr>
        <w:tc>
          <w:tcPr>
            <w:tcW w:w="81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18,441</w:t>
            </w:r>
          </w:p>
        </w:tc>
        <w:tc>
          <w:tcPr>
            <w:tcW w:w="0" w:type="dxa"/>
            <w:vAlign w:val="bottom"/>
          </w:tcPr>
          <w:p>
            <w:pPr>
              <w:spacing w:after="0"/>
              <w:rPr>
                <w:sz w:val="1"/>
                <w:szCs w:val="1"/>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00" w:type="dxa"/>
            <w:vAlign w:val="bottom"/>
            <w:shd w:val="clear" w:color="auto" w:fill="CCEEFF"/>
          </w:tcPr>
          <w:p>
            <w:pPr>
              <w:ind w:left="480"/>
              <w:spacing w:after="0" w:line="169" w:lineRule="exact"/>
              <w:rPr>
                <w:sz w:val="20"/>
                <w:szCs w:val="20"/>
                <w:color w:val="auto"/>
              </w:rPr>
            </w:pPr>
            <w:r>
              <w:rPr>
                <w:rFonts w:ascii="Arial" w:cs="Arial" w:eastAsia="Arial" w:hAnsi="Arial"/>
                <w:sz w:val="16"/>
                <w:szCs w:val="16"/>
                <w:color w:val="auto"/>
                <w:w w:val="91"/>
              </w:rPr>
              <w:t>Common stock, $0.01 par value, authorized 25,000,000 shares, issued 10,630,452 and outstanding 8,313,003 shares</w:t>
            </w: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at March 31, 2021; issued 10,500,549 and outstanding 8,326,948 shares at December 31, 2020</w:t>
            </w:r>
          </w:p>
        </w:tc>
        <w:tc>
          <w:tcPr>
            <w:tcW w:w="2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211,988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210,268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Treasury stock, at cost - 2,317,449 shares at March 31, 2021; 2,173,559 shares at December 31, 2020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(77,967)</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Retained earnings (accumulated deficit)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130,711</w:t>
            </w:r>
          </w:p>
        </w:tc>
        <w:tc>
          <w:tcPr>
            <w:tcW w:w="0" w:type="dxa"/>
            <w:vAlign w:val="bottom"/>
          </w:tcPr>
          <w:p>
            <w:pPr>
              <w:spacing w:after="0"/>
              <w:rPr>
                <w:sz w:val="1"/>
                <w:szCs w:val="1"/>
                <w:color w:val="auto"/>
              </w:rPr>
            </w:pPr>
          </w:p>
        </w:tc>
      </w:tr>
      <w:tr>
        <w:trPr>
          <w:trHeight w:val="207"/>
        </w:trPr>
        <w:tc>
          <w:tcPr>
            <w:tcW w:w="810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149,664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149,152</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Advisory fees: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Asset-based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11,102</w:t>
            </w:r>
          </w:p>
        </w:tc>
      </w:tr>
      <w:tr>
        <w:trPr>
          <w:trHeight w:val="213"/>
        </w:trPr>
        <w:tc>
          <w:tcPr>
            <w:tcW w:w="8220" w:type="dxa"/>
            <w:vAlign w:val="bottom"/>
          </w:tcPr>
          <w:p>
            <w:pPr>
              <w:ind w:left="680"/>
              <w:spacing w:after="0"/>
              <w:rPr>
                <w:sz w:val="20"/>
                <w:szCs w:val="20"/>
                <w:color w:val="auto"/>
              </w:rPr>
            </w:pPr>
            <w:r>
              <w:rPr>
                <w:rFonts w:ascii="Arial" w:cs="Arial" w:eastAsia="Arial" w:hAnsi="Arial"/>
                <w:sz w:val="16"/>
                <w:szCs w:val="16"/>
                <w:color w:val="auto"/>
              </w:rPr>
              <w:t>Performance-based</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Trust fees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5,951</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r>
      <w:tr>
        <w:trPr>
          <w:trHeight w:val="213"/>
        </w:trPr>
        <w:tc>
          <w:tcPr>
            <w:tcW w:w="82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16,669</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compensation and benefits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12,668</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Westwood mutual funds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Information technology</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2,031</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2,306</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foreign currency transactions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w:t>
            </w:r>
          </w:p>
        </w:tc>
      </w:tr>
      <w:tr>
        <w:trPr>
          <w:trHeight w:val="206"/>
        </w:trPr>
        <w:tc>
          <w:tcPr>
            <w:tcW w:w="822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Total expenses</w:t>
            </w: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17,550</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16,253</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Realized gains on private investments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change in unrealized appreciation (depreciation) on private investments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Investment income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(3,242)</w:t>
            </w:r>
          </w:p>
        </w:tc>
      </w:tr>
      <w:tr>
        <w:trPr>
          <w:trHeight w:val="235"/>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7,887,044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8,414,393</w:t>
            </w:r>
          </w:p>
        </w:tc>
      </w:tr>
      <w:tr>
        <w:trPr>
          <w:trHeight w:val="210"/>
        </w:trPr>
        <w:tc>
          <w:tcPr>
            <w:tcW w:w="8220" w:type="dxa"/>
            <w:vAlign w:val="bottom"/>
          </w:tcPr>
          <w:p>
            <w:pPr>
              <w:ind w:left="36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7,917,390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8,458,473</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spacing w:after="0"/>
              <w:rPr>
                <w:sz w:val="14"/>
                <w:szCs w:val="14"/>
                <w:color w:val="auto"/>
              </w:rPr>
            </w:pPr>
          </w:p>
        </w:tc>
        <w:tc>
          <w:tcPr>
            <w:tcW w:w="2080" w:type="dxa"/>
            <w:vAlign w:val="bottom"/>
            <w:gridSpan w:val="4"/>
            <w:vMerge w:val="restart"/>
          </w:tcPr>
          <w:p>
            <w:pPr>
              <w:jc w:val="right"/>
              <w:ind w:right="300"/>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2"/>
              </w:rPr>
              <w:t>Retained Earnings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340" w:type="dxa"/>
            <w:vAlign w:val="bottom"/>
          </w:tcPr>
          <w:p>
            <w:pPr>
              <w:spacing w:after="0"/>
              <w:rPr>
                <w:sz w:val="11"/>
                <w:szCs w:val="11"/>
                <w:color w:val="auto"/>
              </w:rPr>
            </w:pPr>
          </w:p>
        </w:tc>
        <w:tc>
          <w:tcPr>
            <w:tcW w:w="20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9"/>
              </w:rPr>
              <w:t>(Accumulated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80" w:type="dxa"/>
            <w:vAlign w:val="bottom"/>
            <w:gridSpan w:val="3"/>
          </w:tcPr>
          <w:p>
            <w:pPr>
              <w:ind w:left="4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8"/>
              </w:rPr>
              <w:t>Deficit)</w:t>
            </w:r>
          </w:p>
        </w:tc>
        <w:tc>
          <w:tcPr>
            <w:tcW w:w="20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8,326,948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130,711</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net of forfeitures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Dividends declared ($0.10 per share)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(92,491)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returned for payment of taxes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8,313,003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211,988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(80,255)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133,445</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2060" w:type="dxa"/>
            <w:vAlign w:val="bottom"/>
            <w:gridSpan w:val="4"/>
            <w:vMerge w:val="restart"/>
          </w:tcPr>
          <w:p>
            <w:pPr>
              <w:jc w:val="right"/>
              <w:ind w:right="279"/>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w w:val="96"/>
              </w:rPr>
              <w:t>Accumulated Other</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1"/>
                <w:szCs w:val="11"/>
                <w:color w:val="auto"/>
              </w:rPr>
            </w:pPr>
          </w:p>
        </w:tc>
        <w:tc>
          <w:tcPr>
            <w:tcW w:w="20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Income (Loss)</w:t>
            </w: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Retained Earnings</w:t>
            </w: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8,881,086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Foreign currency translation adjustments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166"/>
        </w:trPr>
        <w:tc>
          <w:tcPr>
            <w:tcW w:w="2880" w:type="dxa"/>
            <w:vAlign w:val="bottom"/>
          </w:tcPr>
          <w:p>
            <w:pPr>
              <w:ind w:left="20"/>
              <w:spacing w:after="0" w:line="166" w:lineRule="exact"/>
              <w:rPr>
                <w:sz w:val="20"/>
                <w:szCs w:val="20"/>
                <w:color w:val="auto"/>
              </w:rPr>
            </w:pPr>
            <w:r>
              <w:rPr>
                <w:rFonts w:ascii="Arial" w:cs="Arial" w:eastAsia="Arial" w:hAnsi="Arial"/>
                <w:sz w:val="16"/>
                <w:szCs w:val="16"/>
                <w:color w:val="auto"/>
              </w:rPr>
              <w:t>Issuance of restricted stock, net of</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241,533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forfeitures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($0.43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2,616</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Reclassification of compensation liability</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 be paid in shares</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(272,059)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(4,867)</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Purchase of treasury stock under employee</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w:t>
            </w: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80" w:type="dxa"/>
            <w:vAlign w:val="bottom"/>
          </w:tcPr>
          <w:p>
            <w:pPr>
              <w:ind w:left="20"/>
              <w:spacing w:after="0" w:line="166" w:lineRule="exact"/>
              <w:rPr>
                <w:sz w:val="20"/>
                <w:szCs w:val="20"/>
                <w:color w:val="auto"/>
              </w:rPr>
            </w:pPr>
            <w:r>
              <w:rPr>
                <w:rFonts w:ascii="Arial" w:cs="Arial" w:eastAsia="Arial" w:hAnsi="Arial"/>
                <w:sz w:val="16"/>
                <w:szCs w:val="16"/>
                <w:color w:val="auto"/>
                <w:w w:val="99"/>
              </w:rPr>
              <w:t>Restricted stock returned for payment of</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(43,045)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taxes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8,780,041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138,389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330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9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6"/>
                <w:szCs w:val="16"/>
                <w:b w:val="1"/>
                <w:bCs w:val="1"/>
                <w:color w:val="auto"/>
              </w:rPr>
              <w:t>2020</w:t>
            </w:r>
          </w:p>
        </w:tc>
      </w:tr>
      <w:tr>
        <w:trPr>
          <w:trHeight w:val="185"/>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8"/>
        </w:trPr>
        <w:tc>
          <w:tcPr>
            <w:tcW w:w="7940" w:type="dxa"/>
            <w:vAlign w:val="bottom"/>
          </w:tcPr>
          <w:p>
            <w:pPr>
              <w:ind w:left="360"/>
              <w:spacing w:after="0"/>
              <w:rPr>
                <w:sz w:val="20"/>
                <w:szCs w:val="20"/>
                <w:color w:val="auto"/>
              </w:rPr>
            </w:pPr>
            <w:r>
              <w:rPr>
                <w:rFonts w:ascii="Arial" w:cs="Arial" w:eastAsia="Arial" w:hAnsi="Arial"/>
                <w:sz w:val="15"/>
                <w:szCs w:val="15"/>
                <w:color w:val="auto"/>
              </w:rPr>
              <w:t>Net income</w:t>
            </w:r>
          </w:p>
        </w:tc>
        <w:tc>
          <w:tcPr>
            <w:tcW w:w="1040" w:type="dxa"/>
            <w:vAlign w:val="bottom"/>
          </w:tcPr>
          <w:p>
            <w:pPr>
              <w:jc w:val="right"/>
              <w:ind w:right="862"/>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4,101</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1,102</w:t>
            </w:r>
          </w:p>
        </w:tc>
      </w:tr>
      <w:tr>
        <w:trPr>
          <w:trHeight w:val="207"/>
        </w:trPr>
        <w:tc>
          <w:tcPr>
            <w:tcW w:w="7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income to net cash (used in) provided by operating activities: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940" w:type="dxa"/>
            <w:vAlign w:val="bottom"/>
          </w:tcPr>
          <w:p>
            <w:pPr>
              <w:ind w:left="680"/>
              <w:spacing w:after="0"/>
              <w:rPr>
                <w:sz w:val="20"/>
                <w:szCs w:val="20"/>
                <w:color w:val="auto"/>
              </w:rPr>
            </w:pPr>
            <w:r>
              <w:rPr>
                <w:rFonts w:ascii="Arial" w:cs="Arial" w:eastAsia="Arial" w:hAnsi="Arial"/>
                <w:sz w:val="15"/>
                <w:szCs w:val="15"/>
                <w:color w:val="auto"/>
              </w:rPr>
              <w:t>Depreciation</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233</w:t>
            </w:r>
          </w:p>
        </w:tc>
      </w:tr>
      <w:tr>
        <w:trPr>
          <w:trHeight w:val="207"/>
        </w:trPr>
        <w:tc>
          <w:tcPr>
            <w:tcW w:w="79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Amortization of intangible assets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w:t>
            </w:r>
          </w:p>
        </w:tc>
      </w:tr>
      <w:tr>
        <w:trPr>
          <w:trHeight w:val="198"/>
        </w:trPr>
        <w:tc>
          <w:tcPr>
            <w:tcW w:w="7940" w:type="dxa"/>
            <w:vAlign w:val="bottom"/>
          </w:tcPr>
          <w:p>
            <w:pPr>
              <w:ind w:left="680"/>
              <w:spacing w:after="0"/>
              <w:rPr>
                <w:sz w:val="20"/>
                <w:szCs w:val="20"/>
                <w:color w:val="auto"/>
              </w:rPr>
            </w:pPr>
            <w:r>
              <w:rPr>
                <w:rFonts w:ascii="Arial" w:cs="Arial" w:eastAsia="Arial" w:hAnsi="Arial"/>
                <w:sz w:val="15"/>
                <w:szCs w:val="15"/>
                <w:color w:val="auto"/>
              </w:rPr>
              <w:t>Net change in unrealized (appreciation) depreciation on investments</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1,133</w:t>
            </w:r>
          </w:p>
        </w:tc>
      </w:tr>
      <w:tr>
        <w:trPr>
          <w:trHeight w:val="207"/>
        </w:trPr>
        <w:tc>
          <w:tcPr>
            <w:tcW w:w="79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Realized gains on private investments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940" w:type="dxa"/>
            <w:vAlign w:val="bottom"/>
          </w:tcPr>
          <w:p>
            <w:pPr>
              <w:ind w:left="680"/>
              <w:spacing w:after="0"/>
              <w:rPr>
                <w:sz w:val="20"/>
                <w:szCs w:val="20"/>
                <w:color w:val="auto"/>
              </w:rPr>
            </w:pPr>
            <w:r>
              <w:rPr>
                <w:rFonts w:ascii="Arial" w:cs="Arial" w:eastAsia="Arial" w:hAnsi="Arial"/>
                <w:sz w:val="15"/>
                <w:szCs w:val="15"/>
                <w:color w:val="auto"/>
              </w:rPr>
              <w:t>Stock based compensation expense</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2,616</w:t>
            </w:r>
          </w:p>
        </w:tc>
      </w:tr>
      <w:tr>
        <w:trPr>
          <w:trHeight w:val="207"/>
        </w:trPr>
        <w:tc>
          <w:tcPr>
            <w:tcW w:w="79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Deferred income taxes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(1,643)</w:t>
            </w:r>
          </w:p>
        </w:tc>
      </w:tr>
      <w:tr>
        <w:trPr>
          <w:trHeight w:val="198"/>
        </w:trPr>
        <w:tc>
          <w:tcPr>
            <w:tcW w:w="7940" w:type="dxa"/>
            <w:vAlign w:val="bottom"/>
          </w:tcPr>
          <w:p>
            <w:pPr>
              <w:ind w:left="680"/>
              <w:spacing w:after="0"/>
              <w:rPr>
                <w:sz w:val="20"/>
                <w:szCs w:val="20"/>
                <w:color w:val="auto"/>
              </w:rPr>
            </w:pPr>
            <w:r>
              <w:rPr>
                <w:rFonts w:ascii="Arial" w:cs="Arial" w:eastAsia="Arial" w:hAnsi="Arial"/>
                <w:sz w:val="15"/>
                <w:szCs w:val="15"/>
                <w:color w:val="auto"/>
              </w:rPr>
              <w:t>Non-cash lease expense</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305</w:t>
            </w:r>
          </w:p>
        </w:tc>
      </w:tr>
      <w:tr>
        <w:trPr>
          <w:trHeight w:val="207"/>
        </w:trPr>
        <w:tc>
          <w:tcPr>
            <w:tcW w:w="79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Gain on asset disposition</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940" w:type="dxa"/>
            <w:vAlign w:val="bottom"/>
          </w:tcPr>
          <w:p>
            <w:pPr>
              <w:ind w:left="360"/>
              <w:spacing w:after="0"/>
              <w:rPr>
                <w:sz w:val="20"/>
                <w:szCs w:val="20"/>
                <w:color w:val="auto"/>
              </w:rPr>
            </w:pPr>
            <w:r>
              <w:rPr>
                <w:rFonts w:ascii="Arial" w:cs="Arial" w:eastAsia="Arial" w:hAnsi="Arial"/>
                <w:sz w:val="15"/>
                <w:szCs w:val="15"/>
                <w:color w:val="auto"/>
              </w:rPr>
              <w:t>Change in operating assets and liabilities: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79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(purchases) sales of trading securities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12,916</w:t>
            </w:r>
          </w:p>
        </w:tc>
      </w:tr>
      <w:tr>
        <w:trPr>
          <w:trHeight w:val="198"/>
        </w:trPr>
        <w:tc>
          <w:tcPr>
            <w:tcW w:w="7940" w:type="dxa"/>
            <w:vAlign w:val="bottom"/>
          </w:tcPr>
          <w:p>
            <w:pPr>
              <w:ind w:left="680"/>
              <w:spacing w:after="0"/>
              <w:rPr>
                <w:sz w:val="20"/>
                <w:szCs w:val="20"/>
                <w:color w:val="auto"/>
              </w:rPr>
            </w:pPr>
            <w:r>
              <w:rPr>
                <w:rFonts w:ascii="Arial" w:cs="Arial" w:eastAsia="Arial" w:hAnsi="Arial"/>
                <w:sz w:val="15"/>
                <w:szCs w:val="15"/>
                <w:color w:val="auto"/>
              </w:rPr>
              <w:t>Accounts receivable</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1,844</w:t>
            </w:r>
          </w:p>
        </w:tc>
      </w:tr>
      <w:tr>
        <w:trPr>
          <w:trHeight w:val="207"/>
        </w:trPr>
        <w:tc>
          <w:tcPr>
            <w:tcW w:w="79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Other current assets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w:t>
            </w:r>
          </w:p>
        </w:tc>
      </w:tr>
      <w:tr>
        <w:trPr>
          <w:trHeight w:val="198"/>
        </w:trPr>
        <w:tc>
          <w:tcPr>
            <w:tcW w:w="7940" w:type="dxa"/>
            <w:vAlign w:val="bottom"/>
          </w:tcPr>
          <w:p>
            <w:pPr>
              <w:ind w:left="680"/>
              <w:spacing w:after="0"/>
              <w:rPr>
                <w:sz w:val="20"/>
                <w:szCs w:val="20"/>
                <w:color w:val="auto"/>
              </w:rPr>
            </w:pPr>
            <w:r>
              <w:rPr>
                <w:rFonts w:ascii="Arial" w:cs="Arial" w:eastAsia="Arial" w:hAnsi="Arial"/>
                <w:sz w:val="15"/>
                <w:szCs w:val="15"/>
                <w:color w:val="auto"/>
              </w:rPr>
              <w:t>Accounts payable and accrued liabilities</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(469)</w:t>
            </w:r>
          </w:p>
        </w:tc>
      </w:tr>
      <w:tr>
        <w:trPr>
          <w:trHeight w:val="207"/>
        </w:trPr>
        <w:tc>
          <w:tcPr>
            <w:tcW w:w="79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Compensation and benefits payable</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(7,356)</w:t>
            </w:r>
          </w:p>
        </w:tc>
      </w:tr>
      <w:tr>
        <w:trPr>
          <w:trHeight w:val="198"/>
        </w:trPr>
        <w:tc>
          <w:tcPr>
            <w:tcW w:w="7940" w:type="dxa"/>
            <w:vAlign w:val="bottom"/>
          </w:tcPr>
          <w:p>
            <w:pPr>
              <w:ind w:left="680"/>
              <w:spacing w:after="0"/>
              <w:rPr>
                <w:sz w:val="20"/>
                <w:szCs w:val="20"/>
                <w:color w:val="auto"/>
              </w:rPr>
            </w:pPr>
            <w:r>
              <w:rPr>
                <w:rFonts w:ascii="Arial" w:cs="Arial" w:eastAsia="Arial" w:hAnsi="Arial"/>
                <w:sz w:val="15"/>
                <w:szCs w:val="15"/>
                <w:color w:val="auto"/>
              </w:rPr>
              <w:t>Income taxes payable</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3,630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475</w:t>
            </w:r>
          </w:p>
        </w:tc>
      </w:tr>
      <w:tr>
        <w:trPr>
          <w:trHeight w:val="206"/>
        </w:trPr>
        <w:tc>
          <w:tcPr>
            <w:tcW w:w="79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Other liabilities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w:t>
            </w:r>
          </w:p>
        </w:tc>
      </w:tr>
      <w:tr>
        <w:trPr>
          <w:trHeight w:val="192"/>
        </w:trPr>
        <w:tc>
          <w:tcPr>
            <w:tcW w:w="7940" w:type="dxa"/>
            <w:vAlign w:val="bottom"/>
            <w:tcBorders>
              <w:bottom w:val="single" w:sz="8" w:color="CCEEFF"/>
            </w:tcBorders>
          </w:tcPr>
          <w:p>
            <w:pPr>
              <w:ind w:left="880"/>
              <w:spacing w:after="0"/>
              <w:rPr>
                <w:sz w:val="20"/>
                <w:szCs w:val="20"/>
                <w:color w:val="auto"/>
              </w:rPr>
            </w:pPr>
            <w:r>
              <w:rPr>
                <w:rFonts w:ascii="Arial" w:cs="Arial" w:eastAsia="Arial" w:hAnsi="Arial"/>
                <w:sz w:val="15"/>
                <w:szCs w:val="15"/>
                <w:color w:val="auto"/>
              </w:rPr>
              <w:t>Net cash (used in) provided by operating activities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11,522</w:t>
            </w: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9"/>
        </w:trPr>
        <w:tc>
          <w:tcPr>
            <w:tcW w:w="7940" w:type="dxa"/>
            <w:vAlign w:val="bottom"/>
          </w:tcPr>
          <w:p>
            <w:pPr>
              <w:ind w:left="360"/>
              <w:spacing w:after="0"/>
              <w:rPr>
                <w:sz w:val="20"/>
                <w:szCs w:val="20"/>
                <w:color w:val="auto"/>
              </w:rPr>
            </w:pPr>
            <w:r>
              <w:rPr>
                <w:rFonts w:ascii="Arial" w:cs="Arial" w:eastAsia="Arial" w:hAnsi="Arial"/>
                <w:sz w:val="15"/>
                <w:szCs w:val="15"/>
                <w:color w:val="auto"/>
              </w:rPr>
              <w:t>Sale of investments</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9,258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Sale of property and equipment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940" w:type="dxa"/>
            <w:vAlign w:val="bottom"/>
          </w:tcPr>
          <w:p>
            <w:pPr>
              <w:ind w:left="360"/>
              <w:spacing w:after="0"/>
              <w:rPr>
                <w:sz w:val="20"/>
                <w:szCs w:val="20"/>
                <w:color w:val="auto"/>
              </w:rPr>
            </w:pPr>
            <w:r>
              <w:rPr>
                <w:rFonts w:ascii="Arial" w:cs="Arial" w:eastAsia="Arial" w:hAnsi="Arial"/>
                <w:sz w:val="15"/>
                <w:szCs w:val="15"/>
                <w:color w:val="auto"/>
              </w:rPr>
              <w:t>Purchase of property and equipment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6"/>
        </w:trPr>
        <w:tc>
          <w:tcPr>
            <w:tcW w:w="7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Purchase of investments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7940" w:type="dxa"/>
            <w:vAlign w:val="bottom"/>
            <w:tcBorders>
              <w:bottom w:val="single" w:sz="8" w:color="CCEEFF"/>
            </w:tcBorders>
          </w:tcPr>
          <w:p>
            <w:pPr>
              <w:ind w:left="880"/>
              <w:spacing w:after="0"/>
              <w:rPr>
                <w:sz w:val="20"/>
                <w:szCs w:val="20"/>
                <w:color w:val="auto"/>
              </w:rPr>
            </w:pPr>
            <w:r>
              <w:rPr>
                <w:rFonts w:ascii="Arial" w:cs="Arial" w:eastAsia="Arial" w:hAnsi="Arial"/>
                <w:sz w:val="15"/>
                <w:szCs w:val="15"/>
                <w:color w:val="auto"/>
              </w:rPr>
              <w:t>Net cash provided by (used in) investing activities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9,735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9"/>
        </w:trPr>
        <w:tc>
          <w:tcPr>
            <w:tcW w:w="7940" w:type="dxa"/>
            <w:vAlign w:val="bottom"/>
          </w:tcPr>
          <w:p>
            <w:pPr>
              <w:ind w:left="360"/>
              <w:spacing w:after="0"/>
              <w:rPr>
                <w:sz w:val="20"/>
                <w:szCs w:val="20"/>
                <w:color w:val="auto"/>
              </w:rPr>
            </w:pPr>
            <w:r>
              <w:rPr>
                <w:rFonts w:ascii="Arial" w:cs="Arial" w:eastAsia="Arial" w:hAnsi="Arial"/>
                <w:sz w:val="15"/>
                <w:szCs w:val="15"/>
                <w:color w:val="auto"/>
              </w:rPr>
              <w:t>Purchases of treasury stock</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(3,947)</w:t>
            </w:r>
          </w:p>
        </w:tc>
      </w:tr>
      <w:tr>
        <w:trPr>
          <w:trHeight w:val="206"/>
        </w:trPr>
        <w:tc>
          <w:tcPr>
            <w:tcW w:w="7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Purchase of treasury stock under employee stock plans</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r>
      <w:tr>
        <w:trPr>
          <w:trHeight w:val="199"/>
        </w:trPr>
        <w:tc>
          <w:tcPr>
            <w:tcW w:w="7940" w:type="dxa"/>
            <w:vAlign w:val="bottom"/>
          </w:tcPr>
          <w:p>
            <w:pPr>
              <w:ind w:left="360"/>
              <w:spacing w:after="0"/>
              <w:rPr>
                <w:sz w:val="20"/>
                <w:szCs w:val="20"/>
                <w:color w:val="auto"/>
              </w:rPr>
            </w:pPr>
            <w:r>
              <w:rPr>
                <w:rFonts w:ascii="Arial" w:cs="Arial" w:eastAsia="Arial" w:hAnsi="Arial"/>
                <w:sz w:val="15"/>
                <w:szCs w:val="15"/>
                <w:color w:val="auto"/>
              </w:rPr>
              <w:t>Restricted stock returned for payment of taxes</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(1,120)</w:t>
            </w:r>
          </w:p>
        </w:tc>
      </w:tr>
      <w:tr>
        <w:trPr>
          <w:trHeight w:val="206"/>
        </w:trPr>
        <w:tc>
          <w:tcPr>
            <w:tcW w:w="7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dividends paid</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(7,324)</w:t>
            </w:r>
          </w:p>
        </w:tc>
      </w:tr>
      <w:tr>
        <w:trPr>
          <w:trHeight w:val="192"/>
        </w:trPr>
        <w:tc>
          <w:tcPr>
            <w:tcW w:w="7940" w:type="dxa"/>
            <w:vAlign w:val="bottom"/>
            <w:tcBorders>
              <w:bottom w:val="single" w:sz="8" w:color="CCEEFF"/>
            </w:tcBorders>
          </w:tcPr>
          <w:p>
            <w:pPr>
              <w:ind w:left="880"/>
              <w:spacing w:after="0"/>
              <w:rPr>
                <w:sz w:val="20"/>
                <w:szCs w:val="20"/>
                <w:color w:val="auto"/>
              </w:rPr>
            </w:pPr>
            <w:r>
              <w:rPr>
                <w:rFonts w:ascii="Arial" w:cs="Arial" w:eastAsia="Arial" w:hAnsi="Arial"/>
                <w:sz w:val="15"/>
                <w:szCs w:val="15"/>
                <w:color w:val="auto"/>
              </w:rPr>
              <w:t>Net cash used in financing activities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(13,088)</w:t>
            </w:r>
          </w:p>
        </w:tc>
      </w:tr>
      <w:tr>
        <w:trPr>
          <w:trHeight w:val="200"/>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currency rate changes on cash</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(3,068)</w:t>
            </w:r>
          </w:p>
        </w:tc>
      </w:tr>
      <w:tr>
        <w:trPr>
          <w:trHeight w:val="192"/>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Change in Cash and Cash Equivalents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(4,650)</w:t>
            </w:r>
          </w:p>
        </w:tc>
      </w:tr>
      <w:tr>
        <w:trPr>
          <w:trHeight w:val="200"/>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13,016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49,766</w:t>
            </w:r>
          </w:p>
        </w:tc>
      </w:tr>
      <w:tr>
        <w:trPr>
          <w:trHeight w:val="169"/>
        </w:trPr>
        <w:tc>
          <w:tcPr>
            <w:tcW w:w="7940" w:type="dxa"/>
            <w:vAlign w:val="bottom"/>
          </w:tcPr>
          <w:p>
            <w:pPr>
              <w:ind w:left="20"/>
              <w:spacing w:after="0" w:line="169" w:lineRule="exact"/>
              <w:rPr>
                <w:sz w:val="20"/>
                <w:szCs w:val="20"/>
                <w:color w:val="auto"/>
              </w:rPr>
            </w:pPr>
            <w:r>
              <w:rPr>
                <w:rFonts w:ascii="Arial" w:cs="Arial" w:eastAsia="Arial" w:hAnsi="Arial"/>
                <w:sz w:val="15"/>
                <w:szCs w:val="15"/>
                <w:color w:val="auto"/>
              </w:rPr>
              <w:t>Cash and cash equivalents, end of period</w:t>
            </w:r>
          </w:p>
        </w:tc>
        <w:tc>
          <w:tcPr>
            <w:tcW w:w="1040" w:type="dxa"/>
            <w:vAlign w:val="bottom"/>
            <w:tcBorders>
              <w:bottom w:val="single" w:sz="8" w:color="auto"/>
            </w:tcBorders>
          </w:tcPr>
          <w:p>
            <w:pPr>
              <w:jc w:val="right"/>
              <w:ind w:right="862"/>
              <w:spacing w:after="0" w:line="169"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12,989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45,116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79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Supplemental cash flow information:</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8"/>
        </w:trPr>
        <w:tc>
          <w:tcPr>
            <w:tcW w:w="7940" w:type="dxa"/>
            <w:vAlign w:val="bottom"/>
          </w:tcPr>
          <w:p>
            <w:pPr>
              <w:ind w:left="360"/>
              <w:spacing w:after="0"/>
              <w:rPr>
                <w:sz w:val="20"/>
                <w:szCs w:val="20"/>
                <w:color w:val="auto"/>
              </w:rPr>
            </w:pPr>
            <w:r>
              <w:rPr>
                <w:rFonts w:ascii="Arial" w:cs="Arial" w:eastAsia="Arial" w:hAnsi="Arial"/>
                <w:sz w:val="15"/>
                <w:szCs w:val="15"/>
                <w:color w:val="auto"/>
              </w:rPr>
              <w:t>Cash paid during the period for income taxes</w:t>
            </w:r>
          </w:p>
        </w:tc>
        <w:tc>
          <w:tcPr>
            <w:tcW w:w="1040" w:type="dxa"/>
            <w:vAlign w:val="bottom"/>
          </w:tcPr>
          <w:p>
            <w:pPr>
              <w:jc w:val="right"/>
              <w:ind w:right="862"/>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769</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07"/>
        </w:trPr>
        <w:tc>
          <w:tcPr>
            <w:tcW w:w="7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dividends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5,245</w:t>
            </w:r>
          </w:p>
        </w:tc>
      </w:tr>
      <w:tr>
        <w:trPr>
          <w:trHeight w:val="194"/>
        </w:trPr>
        <w:tc>
          <w:tcPr>
            <w:tcW w:w="7940" w:type="dxa"/>
            <w:vAlign w:val="bottom"/>
          </w:tcPr>
          <w:p>
            <w:pPr>
              <w:ind w:left="360"/>
              <w:spacing w:after="0"/>
              <w:rPr>
                <w:sz w:val="20"/>
                <w:szCs w:val="20"/>
                <w:color w:val="auto"/>
              </w:rPr>
            </w:pPr>
            <w:r>
              <w:rPr>
                <w:rFonts w:ascii="Arial" w:cs="Arial" w:eastAsia="Arial" w:hAnsi="Arial"/>
                <w:sz w:val="15"/>
                <w:szCs w:val="15"/>
                <w:color w:val="auto"/>
              </w:rPr>
              <w:t>Accrued purchases of treasury stock</w:t>
            </w:r>
          </w:p>
        </w:tc>
        <w:tc>
          <w:tcPr>
            <w:tcW w:w="1040" w:type="dxa"/>
            <w:vAlign w:val="bottom"/>
          </w:tcPr>
          <w:p>
            <w:pPr>
              <w:jc w:val="right"/>
              <w:ind w:right="862"/>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359</w:t>
            </w:r>
          </w:p>
        </w:tc>
        <w:tc>
          <w:tcPr>
            <w:tcW w:w="100" w:type="dxa"/>
            <w:vAlign w:val="bottom"/>
          </w:tcPr>
          <w:p>
            <w:pPr>
              <w:spacing w:after="0"/>
              <w:rPr>
                <w:sz w:val="16"/>
                <w:szCs w:val="16"/>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920</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ind w:left="340" w:right="26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Westwood Trust and Westwood International Advisors Inc. (“Westwood International Advisors”). On July 27, 2020, Westwood’s Board of Directors approved the liquidation of Westwood International Advisors, which occurred effective September 30, 2020.</w:t>
      </w:r>
    </w:p>
    <w:p>
      <w:pPr>
        <w:spacing w:after="0" w:line="8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Westwood Management provides investment advisory services to institutional clients, a family of mutual funds called the Westwood Funds®, other mutual funds, individual investors and clients of Westwood Trust. Prior to its liquidation, our wholly owned subsidiary, Westwood International Advisors, provided investment advisory services to institutional clients, the Westwood Funds®, other mutual funds, the UCITS Fund (which was liquidated in June 2020),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Westwood Management is registered with the Securities and Exchange Commission ("SEC") as an investment advisor ("RIA") under the Investment Advisers Act of 1940. Westwood Trust is chartered and regulated by the Texas Department of Banking.</w:t>
      </w:r>
    </w:p>
    <w:p>
      <w:pPr>
        <w:spacing w:after="0" w:line="58" w:lineRule="exact"/>
        <w:rPr>
          <w:sz w:val="20"/>
          <w:szCs w:val="20"/>
          <w:color w:val="auto"/>
        </w:rPr>
      </w:pPr>
    </w:p>
    <w:p>
      <w:pPr>
        <w:ind w:left="40" w:right="6340" w:hanging="32"/>
        <w:spacing w:after="0" w:line="377"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84"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2020,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which is intended to simplify various aspects of the income tax accounting guidance, including interim-period accounting for enacted changes in tax law. ASU 2019-12 is effective for public business entities for fiscal years beginning after December 15, 2020, including interim periods within those fiscal years, and early adoption is permitted. We adopted this ASU as of January 1, 2021 and it did not have a significant effect on our Condensed Consolidated Financial Statements.</w:t>
      </w:r>
    </w:p>
    <w:p>
      <w:pPr>
        <w:spacing w:after="0" w:line="59" w:lineRule="exact"/>
        <w:rPr>
          <w:sz w:val="20"/>
          <w:szCs w:val="20"/>
          <w:color w:val="auto"/>
        </w:rPr>
      </w:pPr>
    </w:p>
    <w:p>
      <w:pPr>
        <w:ind w:right="9580" w:firstLine="8"/>
        <w:spacing w:after="0" w:line="425"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Revenue Recognition</w:t>
      </w:r>
    </w:p>
    <w:p>
      <w:pPr>
        <w:ind w:firstLine="486"/>
        <w:spacing w:after="0" w:line="263" w:lineRule="auto"/>
        <w:rPr>
          <w:sz w:val="20"/>
          <w:szCs w:val="20"/>
          <w:color w:val="auto"/>
        </w:rPr>
      </w:pPr>
      <w:r>
        <w:rPr>
          <w:rFonts w:ascii="Arial" w:cs="Arial" w:eastAsia="Arial" w:hAnsi="Arial"/>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 w:name="page8"/>
    <w:bookmarkEnd w:id="7"/>
    <w:p>
      <w:pPr>
        <w:jc w:val="center"/>
        <w:ind w:left="340" w:right="20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revenues from investment advisory fees, trust fees and other sources of revenues. Advisory and trust fees are calculated based on a percentage of AUM and the performance obligation is realized over the current calendar quarter. Once clients receive our investment advisory services we have an enforceable right to payment.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6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80" w:lineRule="exact"/>
        <w:rPr>
          <w:sz w:val="20"/>
          <w:szCs w:val="20"/>
          <w:color w:val="auto"/>
        </w:rPr>
      </w:pPr>
    </w:p>
    <w:p>
      <w:pPr>
        <w:jc w:val="both"/>
        <w:ind w:right="620" w:firstLine="486"/>
        <w:spacing w:after="0" w:line="342" w:lineRule="auto"/>
        <w:rPr>
          <w:sz w:val="20"/>
          <w:szCs w:val="20"/>
          <w:color w:val="auto"/>
        </w:rPr>
      </w:pPr>
      <w:r>
        <w:rPr>
          <w:rFonts w:ascii="Arial" w:cs="Arial" w:eastAsia="Arial" w:hAnsi="Arial"/>
          <w:sz w:val="16"/>
          <w:szCs w:val="16"/>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Performance-Based Obligations</w:t>
      </w:r>
    </w:p>
    <w:p>
      <w:pPr>
        <w:spacing w:after="0" w:line="121"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2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12"/>
        </w:trPr>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Advisory Fees: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6860" w:type="dxa"/>
            <w:vAlign w:val="bottom"/>
          </w:tcPr>
          <w:p>
            <w:pPr>
              <w:ind w:left="840"/>
              <w:spacing w:after="0"/>
              <w:rPr>
                <w:sz w:val="20"/>
                <w:szCs w:val="20"/>
                <w:color w:val="auto"/>
              </w:rPr>
            </w:pPr>
            <w:r>
              <w:rPr>
                <w:rFonts w:ascii="Arial" w:cs="Arial" w:eastAsia="Arial" w:hAnsi="Arial"/>
                <w:sz w:val="18"/>
                <w:szCs w:val="18"/>
                <w:color w:val="auto"/>
              </w:rPr>
              <w:t>Institutional</w:t>
            </w:r>
          </w:p>
        </w:tc>
        <w:tc>
          <w:tcPr>
            <w:tcW w:w="152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8,858</w:t>
            </w:r>
          </w:p>
        </w:tc>
        <w:tc>
          <w:tcPr>
            <w:tcW w:w="120" w:type="dxa"/>
            <w:vAlign w:val="bottom"/>
          </w:tcPr>
          <w:p>
            <w:pPr>
              <w:spacing w:after="0"/>
              <w:rPr>
                <w:sz w:val="19"/>
                <w:szCs w:val="19"/>
                <w:color w:val="auto"/>
              </w:rPr>
            </w:pPr>
          </w:p>
        </w:tc>
        <w:tc>
          <w:tcPr>
            <w:tcW w:w="1520" w:type="dxa"/>
            <w:vAlign w:val="bottom"/>
          </w:tcPr>
          <w:p>
            <w:pPr>
              <w:jc w:val="right"/>
              <w:ind w:right="85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7,900</w:t>
            </w:r>
          </w:p>
        </w:tc>
      </w:tr>
      <w:tr>
        <w:trPr>
          <w:trHeight w:val="230"/>
        </w:trPr>
        <w:tc>
          <w:tcPr>
            <w:tcW w:w="68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Mutual Funds</w:t>
            </w: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r>
      <w:tr>
        <w:trPr>
          <w:trHeight w:val="229"/>
        </w:trPr>
        <w:tc>
          <w:tcPr>
            <w:tcW w:w="6860" w:type="dxa"/>
            <w:vAlign w:val="bottom"/>
          </w:tcPr>
          <w:p>
            <w:pPr>
              <w:ind w:left="840"/>
              <w:spacing w:after="0"/>
              <w:rPr>
                <w:sz w:val="20"/>
                <w:szCs w:val="20"/>
                <w:color w:val="auto"/>
              </w:rPr>
            </w:pPr>
            <w:r>
              <w:rPr>
                <w:rFonts w:ascii="Arial" w:cs="Arial" w:eastAsia="Arial" w:hAnsi="Arial"/>
                <w:sz w:val="18"/>
                <w:szCs w:val="18"/>
                <w:color w:val="auto"/>
              </w:rPr>
              <w:t>Wealth Management</w:t>
            </w: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Trust Fees</w:t>
            </w: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r>
      <w:tr>
        <w:trPr>
          <w:trHeight w:val="230"/>
        </w:trPr>
        <w:tc>
          <w:tcPr>
            <w:tcW w:w="68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 net</w:t>
            </w:r>
          </w:p>
        </w:tc>
        <w:tc>
          <w:tcPr>
            <w:tcW w:w="1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48"/>
        </w:trPr>
        <w:tc>
          <w:tcPr>
            <w:tcW w:w="68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Total revenues</w:t>
            </w:r>
          </w:p>
        </w:tc>
        <w:tc>
          <w:tcPr>
            <w:tcW w:w="152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18,319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16,669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980" w:firstLine="486"/>
        <w:spacing w:after="0" w:line="274" w:lineRule="auto"/>
        <w:rPr>
          <w:sz w:val="20"/>
          <w:szCs w:val="20"/>
          <w:color w:val="auto"/>
        </w:rPr>
      </w:pPr>
      <w:r>
        <w:rPr>
          <w:rFonts w:ascii="Arial" w:cs="Arial" w:eastAsia="Arial" w:hAnsi="Arial"/>
          <w:sz w:val="18"/>
          <w:szCs w:val="18"/>
          <w:color w:val="auto"/>
        </w:rPr>
        <w:t>We serve clients primarily in the United States, but also in various locations around the world. The following table presents our revenue disaggregated by our clients' geographical locations (in thousands):</w:t>
      </w:r>
    </w:p>
    <w:tbl>
      <w:tblPr>
        <w:tblLayout w:type="fixed"/>
        <w:tblInd w:w="20" w:type="dxa"/>
        <w:tblCellMar>
          <w:top w:w="0" w:type="dxa"/>
          <w:left w:w="0" w:type="dxa"/>
          <w:bottom w:w="0" w:type="dxa"/>
          <w:right w:w="0" w:type="dxa"/>
        </w:tblCellMar>
      </w:tblPr>
      <w:tr>
        <w:trPr>
          <w:trHeight w:val="163"/>
        </w:trPr>
        <w:tc>
          <w:tcPr>
            <w:tcW w:w="2540" w:type="dxa"/>
            <w:vAlign w:val="bottom"/>
          </w:tcPr>
          <w:p>
            <w:pPr>
              <w:ind w:left="500"/>
              <w:spacing w:after="0" w:line="163" w:lineRule="exact"/>
              <w:rPr>
                <w:sz w:val="20"/>
                <w:szCs w:val="20"/>
                <w:color w:val="auto"/>
              </w:rPr>
            </w:pPr>
            <w:r>
              <w:rPr>
                <w:rFonts w:ascii="Arial" w:cs="Arial" w:eastAsia="Arial" w:hAnsi="Arial"/>
                <w:sz w:val="16"/>
                <w:szCs w:val="16"/>
                <w:b w:val="1"/>
                <w:bCs w:val="1"/>
                <w:color w:val="auto"/>
              </w:rPr>
              <w:t>Three Months Ended</w:t>
            </w:r>
          </w:p>
        </w:tc>
        <w:tc>
          <w:tcPr>
            <w:tcW w:w="184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Advisory</w:t>
            </w:r>
          </w:p>
        </w:tc>
        <w:tc>
          <w:tcPr>
            <w:tcW w:w="160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Trust</w:t>
            </w:r>
          </w:p>
        </w:tc>
        <w:tc>
          <w:tcPr>
            <w:tcW w:w="2120" w:type="dxa"/>
            <w:vAlign w:val="bottom"/>
          </w:tcPr>
          <w:p>
            <w:pPr>
              <w:ind w:left="600"/>
              <w:spacing w:after="0" w:line="163" w:lineRule="exact"/>
              <w:rPr>
                <w:sz w:val="20"/>
                <w:szCs w:val="20"/>
                <w:color w:val="auto"/>
              </w:rPr>
            </w:pPr>
            <w:r>
              <w:rPr>
                <w:rFonts w:ascii="Arial" w:cs="Arial" w:eastAsia="Arial" w:hAnsi="Arial"/>
                <w:sz w:val="16"/>
                <w:szCs w:val="16"/>
                <w:b w:val="1"/>
                <w:bCs w:val="1"/>
                <w:color w:val="auto"/>
              </w:rPr>
              <w:t>Performance-</w:t>
            </w:r>
          </w:p>
        </w:tc>
        <w:tc>
          <w:tcPr>
            <w:tcW w:w="166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Other</w:t>
            </w:r>
          </w:p>
        </w:tc>
        <w:tc>
          <w:tcPr>
            <w:tcW w:w="1040" w:type="dxa"/>
            <w:vAlign w:val="bottom"/>
            <w:vMerge w:val="restart"/>
          </w:tcPr>
          <w:p>
            <w:pPr>
              <w:ind w:left="68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20"/>
                <w:szCs w:val="20"/>
                <w:color w:val="auto"/>
              </w:rPr>
            </w:pPr>
            <w:r>
              <w:rPr>
                <w:rFonts w:ascii="Arial" w:cs="Arial" w:eastAsia="Arial" w:hAnsi="Arial"/>
                <w:sz w:val="16"/>
                <w:szCs w:val="16"/>
                <w:b w:val="1"/>
                <w:bCs w:val="1"/>
                <w:color w:val="auto"/>
              </w:rPr>
              <w:t>March 31, 2021</w:t>
            </w:r>
          </w:p>
        </w:tc>
        <w:tc>
          <w:tcPr>
            <w:tcW w:w="184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2120" w:type="dxa"/>
            <w:vAlign w:val="bottom"/>
          </w:tcPr>
          <w:p>
            <w:pPr>
              <w:ind w:left="620"/>
              <w:spacing w:after="0"/>
              <w:rPr>
                <w:sz w:val="20"/>
                <w:szCs w:val="20"/>
                <w:color w:val="auto"/>
              </w:rPr>
            </w:pPr>
            <w:r>
              <w:rPr>
                <w:rFonts w:ascii="Arial" w:cs="Arial" w:eastAsia="Arial" w:hAnsi="Arial"/>
                <w:sz w:val="16"/>
                <w:szCs w:val="16"/>
                <w:b w:val="1"/>
                <w:bCs w:val="1"/>
                <w:color w:val="auto"/>
              </w:rPr>
              <w:t>based</w:t>
            </w:r>
          </w:p>
        </w:tc>
        <w:tc>
          <w:tcPr>
            <w:tcW w:w="16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Canada</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2380" w:type="dxa"/>
            <w:vAlign w:val="bottom"/>
          </w:tcPr>
          <w:p>
            <w:pPr>
              <w:ind w:left="520"/>
              <w:spacing w:after="0"/>
              <w:rPr>
                <w:sz w:val="20"/>
                <w:szCs w:val="20"/>
                <w:color w:val="auto"/>
              </w:rPr>
            </w:pPr>
            <w:r>
              <w:rPr>
                <w:rFonts w:ascii="Arial" w:cs="Arial" w:eastAsia="Arial" w:hAnsi="Arial"/>
                <w:sz w:val="18"/>
                <w:szCs w:val="18"/>
                <w:color w:val="auto"/>
              </w:rPr>
              <w:t>Europe</w:t>
            </w: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2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United States</w:t>
            </w:r>
          </w:p>
        </w:tc>
        <w:tc>
          <w:tcPr>
            <w:tcW w:w="8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17,143</w:t>
            </w:r>
          </w:p>
        </w:tc>
      </w:tr>
      <w:tr>
        <w:trPr>
          <w:trHeight w:val="223"/>
        </w:trPr>
        <w:tc>
          <w:tcPr>
            <w:tcW w:w="2380" w:type="dxa"/>
            <w:vAlign w:val="bottom"/>
          </w:tcPr>
          <w:p>
            <w:pPr>
              <w:ind w:left="5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18,319</w:t>
            </w:r>
          </w:p>
        </w:tc>
      </w:tr>
      <w:tr>
        <w:trPr>
          <w:trHeight w:val="20"/>
        </w:trPr>
        <w:tc>
          <w:tcPr>
            <w:tcW w:w="2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14,753</w:t>
            </w: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REPORTING</w:t>
      </w:r>
    </w:p>
    <w:p>
      <w:pPr>
        <w:spacing w:after="0" w:line="17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(Loss). Refer to the "Supplemental Financial Information" section in Item 2. "Management Discussion and Analysis of Financial Conditions and Results" for the Economic Earnings (Loss) calculation.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the UCITS Fund (liquidated in June 2020) and collective investment trusts. Westwood Management and Westwood International Advisors (prior to its closure, effective September 30, 2020), which provide investment advisory services to similar clients, are included in our Advisory segment.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Trust provides trust and custodial services and participation in common trust funds that it sponsors to institutions and high net worth individuals.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520"/>
              <w:spacing w:after="0"/>
              <w:rPr>
                <w:sz w:val="20"/>
                <w:szCs w:val="20"/>
                <w:color w:val="auto"/>
              </w:rPr>
            </w:pPr>
            <w:r>
              <w:rPr>
                <w:rFonts w:ascii="Arial" w:cs="Arial" w:eastAsia="Arial" w:hAnsi="Arial"/>
                <w:sz w:val="16"/>
                <w:szCs w:val="16"/>
                <w:i w:val="1"/>
                <w:iCs w:val="1"/>
                <w:color w:val="auto"/>
              </w:rPr>
              <w:t>(in thousands)</w:t>
            </w:r>
          </w:p>
        </w:tc>
        <w:tc>
          <w:tcPr>
            <w:tcW w:w="7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Advisory</w:t>
            </w:r>
          </w:p>
        </w:tc>
        <w:tc>
          <w:tcPr>
            <w:tcW w:w="740" w:type="dxa"/>
            <w:vAlign w:val="bottom"/>
          </w:tcPr>
          <w:p>
            <w:pPr>
              <w:spacing w:after="0"/>
              <w:rPr>
                <w:sz w:val="16"/>
                <w:szCs w:val="16"/>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Trust</w:t>
            </w:r>
          </w:p>
        </w:tc>
        <w:tc>
          <w:tcPr>
            <w:tcW w:w="6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Westwood</w:t>
            </w:r>
          </w:p>
        </w:tc>
        <w:tc>
          <w:tcPr>
            <w:tcW w:w="66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640" w:type="dxa"/>
            <w:vAlign w:val="bottom"/>
          </w:tcPr>
          <w:p>
            <w:pPr>
              <w:spacing w:after="0"/>
              <w:rPr>
                <w:sz w:val="16"/>
                <w:szCs w:val="16"/>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3"/>
        </w:trPr>
        <w:tc>
          <w:tcPr>
            <w:tcW w:w="22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740" w:type="dxa"/>
            <w:vAlign w:val="bottom"/>
            <w:gridSpan w:val="3"/>
          </w:tcPr>
          <w:p>
            <w:pPr>
              <w:ind w:left="520"/>
              <w:spacing w:after="0"/>
              <w:rPr>
                <w:sz w:val="20"/>
                <w:szCs w:val="20"/>
                <w:color w:val="auto"/>
              </w:rPr>
            </w:pPr>
            <w:r>
              <w:rPr>
                <w:rFonts w:ascii="Arial" w:cs="Arial" w:eastAsia="Arial" w:hAnsi="Arial"/>
                <w:sz w:val="16"/>
                <w:szCs w:val="16"/>
                <w:b w:val="1"/>
                <w:bCs w:val="1"/>
                <w:color w:val="auto"/>
              </w:rPr>
              <w:t>Holdings</w:t>
            </w:r>
          </w:p>
        </w:tc>
        <w:tc>
          <w:tcPr>
            <w:tcW w:w="6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240" w:type="dxa"/>
            <w:vAlign w:val="bottom"/>
            <w:tcBorders>
              <w:top w:val="single" w:sz="8" w:color="CCEEFF"/>
            </w:tcBorders>
            <w:shd w:val="clear" w:color="auto" w:fill="CCEEFF"/>
          </w:tcPr>
          <w:p>
            <w:pPr>
              <w:ind w:left="520"/>
              <w:spacing w:after="0" w:line="145" w:lineRule="exact"/>
              <w:rPr>
                <w:sz w:val="20"/>
                <w:szCs w:val="20"/>
                <w:color w:val="auto"/>
              </w:rPr>
            </w:pPr>
            <w:r>
              <w:rPr>
                <w:rFonts w:ascii="Arial" w:cs="Arial" w:eastAsia="Arial" w:hAnsi="Arial"/>
                <w:sz w:val="16"/>
                <w:szCs w:val="16"/>
                <w:b w:val="1"/>
                <w:bCs w:val="1"/>
                <w:color w:val="auto"/>
              </w:rPr>
              <w:t>Three Months Ended</w:t>
            </w:r>
          </w:p>
        </w:tc>
        <w:tc>
          <w:tcPr>
            <w:tcW w:w="7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line="166" w:lineRule="exact"/>
              <w:rPr>
                <w:sz w:val="20"/>
                <w:szCs w:val="20"/>
                <w:color w:val="auto"/>
              </w:rPr>
            </w:pPr>
            <w:r>
              <w:rPr>
                <w:rFonts w:ascii="Arial" w:cs="Arial" w:eastAsia="Arial" w:hAnsi="Arial"/>
                <w:sz w:val="16"/>
                <w:szCs w:val="16"/>
                <w:color w:val="auto"/>
              </w:rPr>
              <w:t>Net fee revenues from</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12,409</w:t>
            </w:r>
          </w:p>
        </w:tc>
        <w:tc>
          <w:tcPr>
            <w:tcW w:w="80" w:type="dxa"/>
            <w:vAlign w:val="bottom"/>
          </w:tcPr>
          <w:p>
            <w:pPr>
              <w:spacing w:after="0"/>
              <w:rPr>
                <w:sz w:val="14"/>
                <w:szCs w:val="14"/>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6,065</w:t>
            </w:r>
          </w:p>
        </w:tc>
        <w:tc>
          <w:tcPr>
            <w:tcW w:w="80" w:type="dxa"/>
            <w:vAlign w:val="bottom"/>
          </w:tcPr>
          <w:p>
            <w:pPr>
              <w:spacing w:after="0"/>
              <w:rPr>
                <w:sz w:val="14"/>
                <w:szCs w:val="14"/>
                <w:color w:val="auto"/>
              </w:rPr>
            </w:pPr>
          </w:p>
        </w:tc>
        <w:tc>
          <w:tcPr>
            <w:tcW w:w="66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18,474</w:t>
            </w:r>
          </w:p>
        </w:tc>
        <w:tc>
          <w:tcPr>
            <w:tcW w:w="0" w:type="dxa"/>
            <w:vAlign w:val="bottom"/>
          </w:tcPr>
          <w:p>
            <w:pPr>
              <w:spacing w:after="0"/>
              <w:rPr>
                <w:sz w:val="1"/>
                <w:szCs w:val="1"/>
                <w:color w:val="auto"/>
              </w:rPr>
            </w:pPr>
          </w:p>
        </w:tc>
      </w:tr>
      <w:tr>
        <w:trPr>
          <w:trHeight w:val="212"/>
        </w:trPr>
        <w:tc>
          <w:tcPr>
            <w:tcW w:w="2240" w:type="dxa"/>
            <w:vAlign w:val="bottom"/>
          </w:tcPr>
          <w:p>
            <w:pPr>
              <w:ind w:left="20"/>
              <w:spacing w:after="0"/>
              <w:rPr>
                <w:sz w:val="20"/>
                <w:szCs w:val="20"/>
                <w:color w:val="auto"/>
              </w:rPr>
            </w:pPr>
            <w:r>
              <w:rPr>
                <w:rFonts w:ascii="Arial" w:cs="Arial" w:eastAsia="Arial" w:hAnsi="Arial"/>
                <w:sz w:val="16"/>
                <w:szCs w:val="16"/>
                <w:color w:val="auto"/>
              </w:rPr>
              <w:t>external sources</w:t>
            </w:r>
          </w:p>
        </w:tc>
        <w:tc>
          <w:tcPr>
            <w:tcW w:w="7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520"/>
              <w:spacing w:after="0" w:line="166" w:lineRule="exact"/>
              <w:rPr>
                <w:sz w:val="20"/>
                <w:szCs w:val="20"/>
                <w:color w:val="auto"/>
              </w:rPr>
            </w:pPr>
            <w:r>
              <w:rPr>
                <w:rFonts w:ascii="Arial" w:cs="Arial" w:eastAsia="Arial" w:hAnsi="Arial"/>
                <w:sz w:val="16"/>
                <w:szCs w:val="16"/>
                <w:color w:val="auto"/>
              </w:rPr>
              <w:t>Net intersegment</w:t>
            </w:r>
          </w:p>
        </w:tc>
        <w:tc>
          <w:tcPr>
            <w:tcW w:w="7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520"/>
              <w:spacing w:after="0"/>
              <w:rPr>
                <w:sz w:val="20"/>
                <w:szCs w:val="20"/>
                <w:color w:val="auto"/>
              </w:rPr>
            </w:pPr>
            <w:r>
              <w:rPr>
                <w:rFonts w:ascii="Arial" w:cs="Arial" w:eastAsia="Arial" w:hAnsi="Arial"/>
                <w:sz w:val="16"/>
                <w:szCs w:val="16"/>
                <w:color w:val="auto"/>
              </w:rPr>
              <w:t>Other, net</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22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revenues</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Segment assets</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207,193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149,664</w:t>
            </w:r>
          </w:p>
        </w:tc>
        <w:tc>
          <w:tcPr>
            <w:tcW w:w="0" w:type="dxa"/>
            <w:vAlign w:val="bottom"/>
          </w:tcPr>
          <w:p>
            <w:pPr>
              <w:spacing w:after="0"/>
              <w:rPr>
                <w:sz w:val="1"/>
                <w:szCs w:val="1"/>
                <w:color w:val="auto"/>
              </w:rPr>
            </w:pPr>
          </w:p>
        </w:tc>
      </w:tr>
      <w:tr>
        <w:trPr>
          <w:trHeight w:val="230"/>
        </w:trPr>
        <w:tc>
          <w:tcPr>
            <w:tcW w:w="2240" w:type="dxa"/>
            <w:vAlign w:val="bottom"/>
          </w:tcPr>
          <w:p>
            <w:pPr>
              <w:ind w:left="520"/>
              <w:spacing w:after="0"/>
              <w:rPr>
                <w:sz w:val="20"/>
                <w:szCs w:val="20"/>
                <w:color w:val="auto"/>
              </w:rPr>
            </w:pPr>
            <w:r>
              <w:rPr>
                <w:rFonts w:ascii="Arial" w:cs="Arial" w:eastAsia="Arial" w:hAnsi="Arial"/>
                <w:sz w:val="16"/>
                <w:szCs w:val="16"/>
                <w:color w:val="auto"/>
              </w:rPr>
              <w:t>Segment goodwill</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16,401</w:t>
            </w:r>
          </w:p>
        </w:tc>
        <w:tc>
          <w:tcPr>
            <w:tcW w:w="80" w:type="dxa"/>
            <w:vAlign w:val="bottom"/>
          </w:tcPr>
          <w:p>
            <w:pPr>
              <w:spacing w:after="0"/>
              <w:rPr>
                <w:sz w:val="19"/>
                <w:szCs w:val="19"/>
                <w:color w:val="auto"/>
              </w:rPr>
            </w:pPr>
          </w:p>
        </w:tc>
        <w:tc>
          <w:tcPr>
            <w:tcW w:w="660" w:type="dxa"/>
            <w:vAlign w:val="bottom"/>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57"/>
        </w:trPr>
        <w:tc>
          <w:tcPr>
            <w:tcW w:w="2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520"/>
              <w:spacing w:after="0" w:line="162" w:lineRule="exact"/>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March 31, 2020</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40" w:type="dxa"/>
            <w:vAlign w:val="bottom"/>
            <w:shd w:val="clear" w:color="auto" w:fill="CCEEFF"/>
          </w:tcPr>
          <w:p>
            <w:pPr>
              <w:ind w:left="520"/>
              <w:spacing w:after="0" w:line="168" w:lineRule="exact"/>
              <w:rPr>
                <w:sz w:val="20"/>
                <w:szCs w:val="20"/>
                <w:color w:val="auto"/>
              </w:rPr>
            </w:pPr>
            <w:r>
              <w:rPr>
                <w:rFonts w:ascii="Arial" w:cs="Arial" w:eastAsia="Arial" w:hAnsi="Arial"/>
                <w:sz w:val="16"/>
                <w:szCs w:val="16"/>
                <w:color w:val="auto"/>
              </w:rPr>
              <w:t>Net fee revenues from</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sources</w:t>
            </w:r>
          </w:p>
        </w:tc>
        <w:tc>
          <w:tcPr>
            <w:tcW w:w="7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line="166" w:lineRule="exact"/>
              <w:rPr>
                <w:sz w:val="20"/>
                <w:szCs w:val="20"/>
                <w:color w:val="auto"/>
              </w:rPr>
            </w:pPr>
            <w:r>
              <w:rPr>
                <w:rFonts w:ascii="Arial" w:cs="Arial" w:eastAsia="Arial" w:hAnsi="Arial"/>
                <w:sz w:val="16"/>
                <w:szCs w:val="16"/>
                <w:color w:val="auto"/>
              </w:rPr>
              <w:t>Net intersegment</w:t>
            </w:r>
          </w:p>
        </w:tc>
        <w:tc>
          <w:tcPr>
            <w:tcW w:w="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7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520"/>
              <w:spacing w:after="0" w:line="166" w:lineRule="exact"/>
              <w:rPr>
                <w:sz w:val="20"/>
                <w:szCs w:val="20"/>
                <w:color w:val="auto"/>
              </w:rPr>
            </w:pPr>
            <w:r>
              <w:rPr>
                <w:rFonts w:ascii="Arial" w:cs="Arial" w:eastAsia="Arial" w:hAnsi="Arial"/>
                <w:sz w:val="16"/>
                <w:szCs w:val="16"/>
                <w:color w:val="auto"/>
              </w:rPr>
              <w:t>Net interest and</w:t>
            </w:r>
          </w:p>
        </w:tc>
        <w:tc>
          <w:tcPr>
            <w:tcW w:w="7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revenue</w:t>
            </w:r>
          </w:p>
        </w:tc>
        <w:tc>
          <w:tcPr>
            <w:tcW w:w="7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520"/>
              <w:spacing w:after="0"/>
              <w:rPr>
                <w:sz w:val="20"/>
                <w:szCs w:val="20"/>
                <w:color w:val="auto"/>
              </w:rPr>
            </w:pPr>
            <w:r>
              <w:rPr>
                <w:rFonts w:ascii="Arial" w:cs="Arial" w:eastAsia="Arial" w:hAnsi="Arial"/>
                <w:sz w:val="16"/>
                <w:szCs w:val="16"/>
                <w:color w:val="auto"/>
              </w:rPr>
              <w:t>Other, net</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22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revenues</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Segment assets</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236,817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157,802</w:t>
            </w:r>
          </w:p>
        </w:tc>
        <w:tc>
          <w:tcPr>
            <w:tcW w:w="0" w:type="dxa"/>
            <w:vAlign w:val="bottom"/>
          </w:tcPr>
          <w:p>
            <w:pPr>
              <w:spacing w:after="0"/>
              <w:rPr>
                <w:sz w:val="1"/>
                <w:szCs w:val="1"/>
                <w:color w:val="auto"/>
              </w:rPr>
            </w:pPr>
          </w:p>
        </w:tc>
      </w:tr>
      <w:tr>
        <w:trPr>
          <w:trHeight w:val="230"/>
        </w:trPr>
        <w:tc>
          <w:tcPr>
            <w:tcW w:w="2240" w:type="dxa"/>
            <w:vAlign w:val="bottom"/>
          </w:tcPr>
          <w:p>
            <w:pPr>
              <w:ind w:left="520"/>
              <w:spacing w:after="0"/>
              <w:rPr>
                <w:sz w:val="20"/>
                <w:szCs w:val="20"/>
                <w:color w:val="auto"/>
              </w:rPr>
            </w:pPr>
            <w:r>
              <w:rPr>
                <w:rFonts w:ascii="Arial" w:cs="Arial" w:eastAsia="Arial" w:hAnsi="Arial"/>
                <w:sz w:val="16"/>
                <w:szCs w:val="16"/>
                <w:color w:val="auto"/>
              </w:rPr>
              <w:t>Segment goodwill</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3,403</w:t>
            </w:r>
          </w:p>
        </w:tc>
        <w:tc>
          <w:tcPr>
            <w:tcW w:w="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16,401</w:t>
            </w:r>
          </w:p>
        </w:tc>
        <w:tc>
          <w:tcPr>
            <w:tcW w:w="80" w:type="dxa"/>
            <w:vAlign w:val="bottom"/>
          </w:tcPr>
          <w:p>
            <w:pPr>
              <w:spacing w:after="0"/>
              <w:rPr>
                <w:sz w:val="20"/>
                <w:szCs w:val="20"/>
                <w:color w:val="auto"/>
              </w:rPr>
            </w:pPr>
          </w:p>
        </w:tc>
        <w:tc>
          <w:tcPr>
            <w:tcW w:w="660" w:type="dxa"/>
            <w:vAlign w:val="bottom"/>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During 2018, we made a $5.4 million strategic investment in InvestCloud, a digital financial services provider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79" w:lineRule="exact"/>
        <w:rPr>
          <w:sz w:val="20"/>
          <w:szCs w:val="20"/>
          <w:color w:val="auto"/>
        </w:rPr>
      </w:pPr>
    </w:p>
    <w:p>
      <w:pPr>
        <w:ind w:right="520" w:firstLine="486"/>
        <w:spacing w:after="0" w:line="311" w:lineRule="auto"/>
        <w:rPr>
          <w:sz w:val="20"/>
          <w:szCs w:val="20"/>
          <w:color w:val="auto"/>
        </w:rPr>
      </w:pPr>
      <w:r>
        <w:rPr>
          <w:rFonts w:ascii="Arial" w:cs="Arial" w:eastAsia="Arial" w:hAnsi="Arial"/>
          <w:sz w:val="16"/>
          <w:szCs w:val="16"/>
          <w:color w:val="auto"/>
        </w:rPr>
        <w:t>Following observable price changes for this investment in the year ended December 31, 2019, we recorded an unrealized gain of $2.8 million. Following InvestCloud's recapitalization in the first quarter of 2021, we recorded a realized gain of approximately $8.3 million when our originally purchased shares were redeemed. Following this redemption we re-invested $4.4 million of our proceeds into newly issued shares of InvestCloud.</w:t>
      </w:r>
    </w:p>
    <w:p>
      <w:pPr>
        <w:spacing w:after="0" w:line="41"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Our investment in Charis, the parent company of Westwood Private Bank ("Charis"), is included in “Noncurrent investments at fair value” on our Condensed Consolidated Balance Sheets and is measured at fair value on a recurring basis. In the three months ended March 31, 2021, we recorded an unrealized gain of $0.4 million following fair values increases from market transactions. In the three months ended March 31, 2020, we recorded an unrealized loss of $1.0 million, primarily as a result of the global macroeconomic effects of the COVID-19 pandemic.</w:t>
      </w:r>
    </w:p>
    <w:p>
      <w:pPr>
        <w:spacing w:after="0" w:line="63"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In 2019 we made a $0.3 million investment in Westwood Hospitality Fund I, LLC, a private investment fund. Our investment is included in “Noncurrent investments at fair value” on our Condensed Consolidated Balance Sheets and is measured at fair value on a recurring basis using net asset value (“NAV”) as a practical expedient.</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800"/>
              <w:spacing w:after="0"/>
              <w:rPr>
                <w:sz w:val="20"/>
                <w:szCs w:val="20"/>
                <w:color w:val="auto"/>
              </w:rPr>
            </w:pPr>
            <w:r>
              <w:rPr>
                <w:rFonts w:ascii="Arial" w:cs="Arial" w:eastAsia="Arial" w:hAnsi="Arial"/>
                <w:sz w:val="16"/>
                <w:szCs w:val="16"/>
                <w:b w:val="1"/>
                <w:bCs w:val="1"/>
                <w:color w:val="auto"/>
              </w:rPr>
              <w:t>Gross</w:t>
            </w:r>
          </w:p>
        </w:tc>
        <w:tc>
          <w:tcPr>
            <w:tcW w:w="7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Gross</w:t>
            </w:r>
          </w:p>
        </w:tc>
        <w:tc>
          <w:tcPr>
            <w:tcW w:w="600" w:type="dxa"/>
            <w:vAlign w:val="bottom"/>
          </w:tcPr>
          <w:p>
            <w:pPr>
              <w:spacing w:after="0"/>
              <w:rPr>
                <w:sz w:val="16"/>
                <w:szCs w:val="16"/>
                <w:color w:val="auto"/>
              </w:rPr>
            </w:pPr>
          </w:p>
        </w:tc>
        <w:tc>
          <w:tcPr>
            <w:tcW w:w="1040" w:type="dxa"/>
            <w:vAlign w:val="bottom"/>
          </w:tcPr>
          <w:p>
            <w:pPr>
              <w:jc w:val="right"/>
              <w:ind w:right="131"/>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Cost</w:t>
            </w:r>
          </w:p>
        </w:tc>
        <w:tc>
          <w:tcPr>
            <w:tcW w:w="11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Unrealized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Unrealized</w:t>
            </w:r>
          </w:p>
        </w:tc>
        <w:tc>
          <w:tcPr>
            <w:tcW w:w="600" w:type="dxa"/>
            <w:vAlign w:val="bottom"/>
          </w:tcPr>
          <w:p>
            <w:pPr>
              <w:spacing w:after="0"/>
              <w:rPr>
                <w:sz w:val="14"/>
                <w:szCs w:val="14"/>
                <w:color w:val="auto"/>
              </w:rPr>
            </w:pPr>
          </w:p>
        </w:tc>
        <w:tc>
          <w:tcPr>
            <w:tcW w:w="1040" w:type="dxa"/>
            <w:vAlign w:val="bottom"/>
          </w:tcPr>
          <w:p>
            <w:pPr>
              <w:jc w:val="right"/>
              <w:ind w:right="591"/>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4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6"/>
                <w:szCs w:val="16"/>
                <w:b w:val="1"/>
                <w:bCs w:val="1"/>
                <w:color w:val="auto"/>
              </w:rPr>
              <w:t>Gains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79"/>
              </w:rPr>
              <w:t>Losses</w:t>
            </w:r>
          </w:p>
        </w:tc>
        <w:tc>
          <w:tcPr>
            <w:tcW w:w="600" w:type="dxa"/>
            <w:vAlign w:val="bottom"/>
          </w:tcPr>
          <w:p>
            <w:pPr>
              <w:spacing w:after="0"/>
              <w:rPr>
                <w:sz w:val="18"/>
                <w:szCs w:val="18"/>
                <w:color w:val="auto"/>
              </w:rPr>
            </w:pPr>
          </w:p>
        </w:tc>
        <w:tc>
          <w:tcPr>
            <w:tcW w:w="1040" w:type="dxa"/>
            <w:vAlign w:val="bottom"/>
          </w:tcPr>
          <w:p>
            <w:pPr>
              <w:jc w:val="right"/>
              <w:ind w:right="53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4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March 31, 2021:</w:t>
            </w:r>
          </w:p>
        </w:tc>
        <w:tc>
          <w:tcPr>
            <w:tcW w:w="7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520"/>
              <w:spacing w:after="0" w:line="176" w:lineRule="exact"/>
              <w:rPr>
                <w:sz w:val="20"/>
                <w:szCs w:val="20"/>
                <w:color w:val="auto"/>
              </w:rPr>
            </w:pPr>
            <w:r>
              <w:rPr>
                <w:rFonts w:ascii="Arial" w:cs="Arial" w:eastAsia="Arial" w:hAnsi="Arial"/>
                <w:sz w:val="18"/>
                <w:szCs w:val="18"/>
                <w:color w:val="auto"/>
              </w:rPr>
              <w:t>U.S. Government and Government agency</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59,722</w:t>
            </w:r>
          </w:p>
        </w:tc>
        <w:tc>
          <w:tcPr>
            <w:tcW w:w="120" w:type="dxa"/>
            <w:vAlign w:val="bottom"/>
          </w:tcPr>
          <w:p>
            <w:pPr>
              <w:spacing w:after="0"/>
              <w:rPr>
                <w:sz w:val="15"/>
                <w:szCs w:val="15"/>
                <w:color w:val="auto"/>
              </w:rPr>
            </w:pPr>
          </w:p>
        </w:tc>
        <w:tc>
          <w:tcPr>
            <w:tcW w:w="1160" w:type="dxa"/>
            <w:vAlign w:val="bottom"/>
            <w:vMerge w:val="restart"/>
          </w:tcPr>
          <w:p>
            <w:pPr>
              <w:jc w:val="right"/>
              <w:ind w:right="494"/>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59,424</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7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Money market funds</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29"/>
        </w:trPr>
        <w:tc>
          <w:tcPr>
            <w:tcW w:w="4520" w:type="dxa"/>
            <w:vAlign w:val="bottom"/>
          </w:tcPr>
          <w:p>
            <w:pPr>
              <w:ind w:left="520"/>
              <w:spacing w:after="0"/>
              <w:rPr>
                <w:sz w:val="20"/>
                <w:szCs w:val="20"/>
                <w:color w:val="auto"/>
              </w:rPr>
            </w:pPr>
            <w:r>
              <w:rPr>
                <w:rFonts w:ascii="Arial" w:cs="Arial" w:eastAsia="Arial" w:hAnsi="Arial"/>
                <w:sz w:val="18"/>
                <w:szCs w:val="18"/>
                <w:color w:val="auto"/>
              </w:rPr>
              <w:t>Equity funds</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Equities</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4520" w:type="dxa"/>
            <w:vAlign w:val="bottom"/>
          </w:tcPr>
          <w:p>
            <w:pPr>
              <w:ind w:left="520"/>
              <w:spacing w:after="0"/>
              <w:rPr>
                <w:sz w:val="20"/>
                <w:szCs w:val="20"/>
                <w:color w:val="auto"/>
              </w:rPr>
            </w:pPr>
            <w:r>
              <w:rPr>
                <w:rFonts w:ascii="Arial" w:cs="Arial" w:eastAsia="Arial" w:hAnsi="Arial"/>
                <w:sz w:val="18"/>
                <w:szCs w:val="18"/>
                <w:color w:val="auto"/>
              </w:rPr>
              <w:t>Exchange-traded bond funds</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Total trading securities</w:t>
            </w:r>
          </w:p>
        </w:tc>
        <w:tc>
          <w:tcPr>
            <w:tcW w:w="7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74,070</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73,880</w:t>
            </w:r>
          </w:p>
        </w:tc>
        <w:tc>
          <w:tcPr>
            <w:tcW w:w="0" w:type="dxa"/>
            <w:vAlign w:val="bottom"/>
          </w:tcPr>
          <w:p>
            <w:pPr>
              <w:spacing w:after="0"/>
              <w:rPr>
                <w:sz w:val="1"/>
                <w:szCs w:val="1"/>
                <w:color w:val="auto"/>
              </w:rPr>
            </w:pPr>
          </w:p>
        </w:tc>
      </w:tr>
      <w:tr>
        <w:trPr>
          <w:trHeight w:val="230"/>
        </w:trPr>
        <w:tc>
          <w:tcPr>
            <w:tcW w:w="4520" w:type="dxa"/>
            <w:vAlign w:val="bottom"/>
          </w:tcPr>
          <w:p>
            <w:pPr>
              <w:ind w:left="520"/>
              <w:spacing w:after="0"/>
              <w:rPr>
                <w:sz w:val="20"/>
                <w:szCs w:val="20"/>
                <w:color w:val="auto"/>
              </w:rPr>
            </w:pPr>
            <w:r>
              <w:rPr>
                <w:rFonts w:ascii="Arial" w:cs="Arial" w:eastAsia="Arial" w:hAnsi="Arial"/>
                <w:sz w:val="18"/>
                <w:szCs w:val="18"/>
                <w:color w:val="auto"/>
              </w:rPr>
              <w:t>Private investment fund</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Private equity</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23"/>
        </w:trPr>
        <w:tc>
          <w:tcPr>
            <w:tcW w:w="4520" w:type="dxa"/>
            <w:vAlign w:val="bottom"/>
          </w:tcPr>
          <w:p>
            <w:pPr>
              <w:ind w:left="840"/>
              <w:spacing w:after="0"/>
              <w:rPr>
                <w:sz w:val="20"/>
                <w:szCs w:val="20"/>
                <w:color w:val="auto"/>
              </w:rPr>
            </w:pPr>
            <w:r>
              <w:rPr>
                <w:rFonts w:ascii="Arial" w:cs="Arial" w:eastAsia="Arial" w:hAnsi="Arial"/>
                <w:sz w:val="18"/>
                <w:szCs w:val="18"/>
                <w:color w:val="auto"/>
              </w:rPr>
              <w:t>Total investments carried at fair value</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77,755</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566</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77,861</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520"/>
              <w:spacing w:after="0"/>
              <w:rPr>
                <w:sz w:val="20"/>
                <w:szCs w:val="20"/>
                <w:color w:val="auto"/>
              </w:rPr>
            </w:pPr>
            <w:r>
              <w:rPr>
                <w:rFonts w:ascii="Arial" w:cs="Arial" w:eastAsia="Arial" w:hAnsi="Arial"/>
                <w:sz w:val="18"/>
                <w:szCs w:val="18"/>
                <w:b w:val="1"/>
                <w:bCs w:val="1"/>
                <w:color w:val="auto"/>
              </w:rPr>
              <w:t>December 31, 2020:</w:t>
            </w: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U.S. Government and Government agency</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65,132</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64,954</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7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520"/>
              <w:spacing w:after="0"/>
              <w:rPr>
                <w:sz w:val="20"/>
                <w:szCs w:val="20"/>
                <w:color w:val="auto"/>
              </w:rPr>
            </w:pPr>
            <w:r>
              <w:rPr>
                <w:rFonts w:ascii="Arial" w:cs="Arial" w:eastAsia="Arial" w:hAnsi="Arial"/>
                <w:sz w:val="18"/>
                <w:szCs w:val="18"/>
                <w:color w:val="auto"/>
              </w:rPr>
              <w:t>Money market funds</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Equity funds</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4520" w:type="dxa"/>
            <w:vAlign w:val="bottom"/>
          </w:tcPr>
          <w:p>
            <w:pPr>
              <w:ind w:left="520"/>
              <w:spacing w:after="0"/>
              <w:rPr>
                <w:sz w:val="20"/>
                <w:szCs w:val="20"/>
                <w:color w:val="auto"/>
              </w:rPr>
            </w:pPr>
            <w:r>
              <w:rPr>
                <w:rFonts w:ascii="Arial" w:cs="Arial" w:eastAsia="Arial" w:hAnsi="Arial"/>
                <w:sz w:val="18"/>
                <w:szCs w:val="18"/>
                <w:color w:val="auto"/>
              </w:rPr>
              <w:t>Equities</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Exchange-traded bond funds</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4520" w:type="dxa"/>
            <w:vAlign w:val="bottom"/>
          </w:tcPr>
          <w:p>
            <w:pPr>
              <w:ind w:left="840"/>
              <w:spacing w:after="0"/>
              <w:rPr>
                <w:sz w:val="20"/>
                <w:szCs w:val="20"/>
                <w:color w:val="auto"/>
              </w:rPr>
            </w:pPr>
            <w:r>
              <w:rPr>
                <w:rFonts w:ascii="Arial" w:cs="Arial" w:eastAsia="Arial" w:hAnsi="Arial"/>
                <w:sz w:val="18"/>
                <w:szCs w:val="18"/>
                <w:color w:val="auto"/>
              </w:rPr>
              <w:t>Total trading securities</w:t>
            </w:r>
          </w:p>
        </w:tc>
        <w:tc>
          <w:tcPr>
            <w:tcW w:w="7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69,628</w:t>
            </w: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69,542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Private investment fund</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520" w:type="dxa"/>
            <w:vAlign w:val="bottom"/>
          </w:tcPr>
          <w:p>
            <w:pPr>
              <w:ind w:left="520"/>
              <w:spacing w:after="0"/>
              <w:rPr>
                <w:sz w:val="20"/>
                <w:szCs w:val="20"/>
                <w:color w:val="auto"/>
              </w:rPr>
            </w:pPr>
            <w:r>
              <w:rPr>
                <w:rFonts w:ascii="Arial" w:cs="Arial" w:eastAsia="Arial" w:hAnsi="Arial"/>
                <w:sz w:val="18"/>
                <w:szCs w:val="18"/>
                <w:color w:val="auto"/>
              </w:rPr>
              <w:t>Private equity</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Total investments carried at fair value</w:t>
            </w: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62"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strategic investment in InvestCloud, discussed in Note 5 “Investments,” is excluded from the recurring fair value table shown below because we have elected to apply the measurement alternative for this investment.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300" w:firstLine="486"/>
        <w:spacing w:after="0" w:line="274"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tbl>
      <w:tblPr>
        <w:tblLayout w:type="fixed"/>
        <w:tblInd w:w="0" w:type="dxa"/>
        <w:tblCellMar>
          <w:top w:w="0" w:type="dxa"/>
          <w:left w:w="0" w:type="dxa"/>
          <w:bottom w:w="0" w:type="dxa"/>
          <w:right w:w="0" w:type="dxa"/>
        </w:tblCellMar>
      </w:tblPr>
      <w:tr>
        <w:trPr>
          <w:trHeight w:val="163"/>
        </w:trPr>
        <w:tc>
          <w:tcPr>
            <w:tcW w:w="3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Level 1</w:t>
            </w:r>
          </w:p>
        </w:tc>
        <w:tc>
          <w:tcPr>
            <w:tcW w:w="66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Level 2</w:t>
            </w:r>
          </w:p>
        </w:tc>
        <w:tc>
          <w:tcPr>
            <w:tcW w:w="68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580" w:type="dxa"/>
            <w:vAlign w:val="bottom"/>
          </w:tcPr>
          <w:p>
            <w:pPr>
              <w:spacing w:after="0"/>
              <w:rPr>
                <w:sz w:val="14"/>
                <w:szCs w:val="14"/>
                <w:color w:val="auto"/>
              </w:rPr>
            </w:pPr>
          </w:p>
        </w:tc>
        <w:tc>
          <w:tcPr>
            <w:tcW w:w="106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rPr>
              <w:t>Investments</w:t>
            </w:r>
          </w:p>
        </w:tc>
        <w:tc>
          <w:tcPr>
            <w:tcW w:w="7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40" w:type="dxa"/>
            <w:vAlign w:val="bottom"/>
            <w:gridSpan w:val="3"/>
          </w:tcPr>
          <w:p>
            <w:pPr>
              <w:ind w:left="60"/>
              <w:spacing w:after="0" w:line="216" w:lineRule="exact"/>
              <w:rPr>
                <w:sz w:val="20"/>
                <w:szCs w:val="20"/>
                <w:color w:val="auto"/>
              </w:rPr>
            </w:pPr>
            <w:r>
              <w:rPr>
                <w:rFonts w:ascii="Arial" w:cs="Arial" w:eastAsia="Arial" w:hAnsi="Arial"/>
                <w:sz w:val="16"/>
                <w:szCs w:val="16"/>
                <w:b w:val="1"/>
                <w:bCs w:val="1"/>
                <w:color w:val="auto"/>
              </w:rPr>
              <w:t xml:space="preserve">Measured at NAV </w:t>
            </w:r>
            <w:r>
              <w:rPr>
                <w:rFonts w:ascii="Arial" w:cs="Arial" w:eastAsia="Arial" w:hAnsi="Arial"/>
                <w:sz w:val="21"/>
                <w:szCs w:val="21"/>
                <w:color w:val="auto"/>
                <w:vertAlign w:val="superscript"/>
              </w:rPr>
              <w:t>(1)</w:t>
            </w:r>
          </w:p>
        </w:tc>
        <w:tc>
          <w:tcPr>
            <w:tcW w:w="7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As of March 31, 2021:</w:t>
            </w:r>
          </w:p>
        </w:tc>
        <w:tc>
          <w:tcPr>
            <w:tcW w:w="6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520"/>
              <w:spacing w:after="0"/>
              <w:rPr>
                <w:sz w:val="20"/>
                <w:szCs w:val="20"/>
                <w:color w:val="auto"/>
              </w:rPr>
            </w:pPr>
            <w:r>
              <w:rPr>
                <w:rFonts w:ascii="Arial" w:cs="Arial" w:eastAsia="Arial" w:hAnsi="Arial"/>
                <w:sz w:val="18"/>
                <w:szCs w:val="18"/>
                <w:color w:val="auto"/>
                <w:w w:val="97"/>
              </w:rPr>
              <w:t>Investments in trading securities</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73,880</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73,880</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Private investment fund</w:t>
            </w:r>
          </w:p>
        </w:tc>
        <w:tc>
          <w:tcPr>
            <w:tcW w:w="6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Private equity</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3,872</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840"/>
              <w:spacing w:after="0" w:line="156" w:lineRule="exact"/>
              <w:rPr>
                <w:sz w:val="20"/>
                <w:szCs w:val="20"/>
                <w:color w:val="auto"/>
              </w:rPr>
            </w:pPr>
            <w:r>
              <w:rPr>
                <w:rFonts w:ascii="Arial" w:cs="Arial" w:eastAsia="Arial" w:hAnsi="Arial"/>
                <w:sz w:val="18"/>
                <w:szCs w:val="18"/>
                <w:color w:val="auto"/>
                <w:w w:val="93"/>
              </w:rPr>
              <w:t>Total assets measured at fair</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73,880</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3,872</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77,861</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value</w:t>
            </w:r>
          </w:p>
        </w:tc>
        <w:tc>
          <w:tcPr>
            <w:tcW w:w="6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As of December 31, 2020:</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520"/>
              <w:spacing w:after="0"/>
              <w:rPr>
                <w:sz w:val="20"/>
                <w:szCs w:val="20"/>
                <w:color w:val="auto"/>
              </w:rPr>
            </w:pPr>
            <w:r>
              <w:rPr>
                <w:rFonts w:ascii="Arial" w:cs="Arial" w:eastAsia="Arial" w:hAnsi="Arial"/>
                <w:sz w:val="18"/>
                <w:szCs w:val="18"/>
                <w:color w:val="auto"/>
                <w:w w:val="97"/>
              </w:rPr>
              <w:t>Investments in trading securities</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69,542</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69,542</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Private investment fund</w:t>
            </w:r>
          </w:p>
        </w:tc>
        <w:tc>
          <w:tcPr>
            <w:tcW w:w="6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Private equity</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3,431</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840"/>
              <w:spacing w:after="0" w:line="156" w:lineRule="exact"/>
              <w:rPr>
                <w:sz w:val="20"/>
                <w:szCs w:val="20"/>
                <w:color w:val="auto"/>
              </w:rPr>
            </w:pPr>
            <w:r>
              <w:rPr>
                <w:rFonts w:ascii="Arial" w:cs="Arial" w:eastAsia="Arial" w:hAnsi="Arial"/>
                <w:sz w:val="18"/>
                <w:szCs w:val="18"/>
                <w:color w:val="auto"/>
                <w:w w:val="93"/>
              </w:rPr>
              <w:t>Total assets measured at fair</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69,542</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3,431</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73,069</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value</w:t>
            </w:r>
          </w:p>
        </w:tc>
        <w:tc>
          <w:tcPr>
            <w:tcW w:w="6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0" w:right="140" w:firstLine="492"/>
        <w:spacing w:after="0" w:line="236" w:lineRule="auto"/>
        <w:tabs>
          <w:tab w:leader="none" w:pos="71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93"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market transactions. Management believes this valuation methodology is consistent with the banking industry and we will reevaluate our methodology and inputs on a quarterly basis.</w:t>
      </w:r>
    </w:p>
    <w:p>
      <w:pPr>
        <w:spacing w:after="0" w:line="63" w:lineRule="exact"/>
        <w:rPr>
          <w:sz w:val="20"/>
          <w:szCs w:val="20"/>
          <w:color w:val="auto"/>
        </w:rPr>
      </w:pPr>
    </w:p>
    <w:p>
      <w:pPr>
        <w:ind w:right="680" w:firstLine="486"/>
        <w:spacing w:after="0" w:line="274"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p>
      <w:pPr>
        <w:ind w:left="7740"/>
        <w:spacing w:after="0"/>
        <w:rPr>
          <w:sz w:val="20"/>
          <w:szCs w:val="20"/>
          <w:color w:val="auto"/>
        </w:rPr>
      </w:pPr>
      <w:r>
        <w:rPr>
          <w:rFonts w:ascii="Arial" w:cs="Arial" w:eastAsia="Arial" w:hAnsi="Arial"/>
          <w:sz w:val="15"/>
          <w:szCs w:val="15"/>
          <w:b w:val="1"/>
          <w:bCs w:val="1"/>
          <w:color w:val="auto"/>
        </w:rPr>
        <w:t>Fair Value using Significant Unobservable Inputs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6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(Level 3)</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207"/>
        </w:trPr>
        <w:tc>
          <w:tcPr>
            <w:tcW w:w="7160" w:type="dxa"/>
            <w:vAlign w:val="bottom"/>
          </w:tcPr>
          <w:p>
            <w:pPr>
              <w:spacing w:after="0"/>
              <w:rPr>
                <w:sz w:val="17"/>
                <w:szCs w:val="17"/>
                <w:color w:val="auto"/>
              </w:rPr>
            </w:pPr>
          </w:p>
        </w:tc>
        <w:tc>
          <w:tcPr>
            <w:tcW w:w="354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10"/>
        </w:trPr>
        <w:tc>
          <w:tcPr>
            <w:tcW w:w="71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26"/>
        </w:trPr>
        <w:tc>
          <w:tcPr>
            <w:tcW w:w="71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Beginning balance</w:t>
            </w:r>
          </w:p>
        </w:tc>
        <w:tc>
          <w:tcPr>
            <w:tcW w:w="14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3,975</w:t>
            </w:r>
          </w:p>
        </w:tc>
      </w:tr>
      <w:tr>
        <w:trPr>
          <w:trHeight w:val="230"/>
        </w:trPr>
        <w:tc>
          <w:tcPr>
            <w:tcW w:w="716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Unrealized gains (losses) on private investments</w:t>
            </w:r>
          </w:p>
        </w:tc>
        <w:tc>
          <w:tcPr>
            <w:tcW w:w="1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48"/>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Ending balance</w:t>
            </w:r>
          </w:p>
        </w:tc>
        <w:tc>
          <w:tcPr>
            <w:tcW w:w="146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2,980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March 31, 2021 private investment fair value of $3.9 million was valued using a market approach based on a price to tangible book value multiple, with unobservable book value multiples ranging from $1.26 to $2.29 per share, with a weighted average of $1.45 per share. Significant increases (decreases) in book value multiples in isolation would have resulted in a significantly higher (lower) fair value measurement.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7. INCOME TAXES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effective income tax rate differed from the 21% statutory rate for the first quarter of 2021 and 2020 due to permanent differences between book and tax restricted stock expense based on a decrease in our stock price between the restricted stock grant and vesting dates. In addition, in the first quarter of 2020, a discrete benefit adjustment related to the remeasurement of certain deferred taxes following the enactment of the Coronavirus Aid, Relief, and Economic Security Act lowered our effective tax 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employees and non-employee directors. There were approximately 234,000 and 131,000 anti-dilutive restricted shares outstanding for the three months ended March 31, 2021 and March 31, 2020,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77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r>
      <w:tr>
        <w:trPr>
          <w:trHeight w:val="226"/>
        </w:trPr>
        <w:tc>
          <w:tcPr>
            <w:tcW w:w="77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income</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57"/>
        </w:trPr>
        <w:tc>
          <w:tcPr>
            <w:tcW w:w="7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77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Weighted average shares outstanding - basic</w:t>
            </w: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7,887,044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8,414,393</w:t>
            </w:r>
          </w:p>
        </w:tc>
      </w:tr>
      <w:tr>
        <w:trPr>
          <w:trHeight w:val="230"/>
        </w:trPr>
        <w:tc>
          <w:tcPr>
            <w:tcW w:w="7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Dilutive potential shares from unvested restricted shares</w:t>
            </w:r>
          </w:p>
        </w:tc>
        <w:tc>
          <w:tcPr>
            <w:tcW w:w="7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44,080</w:t>
            </w:r>
          </w:p>
        </w:tc>
      </w:tr>
      <w:tr>
        <w:trPr>
          <w:trHeight w:val="223"/>
        </w:trPr>
        <w:tc>
          <w:tcPr>
            <w:tcW w:w="77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7,917,390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8,458,473</w:t>
            </w:r>
          </w:p>
        </w:tc>
      </w:tr>
      <w:tr>
        <w:trPr>
          <w:trHeight w:val="257"/>
        </w:trPr>
        <w:tc>
          <w:tcPr>
            <w:tcW w:w="7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77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Earnings per share:</w:t>
            </w: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Basic</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29"/>
        </w:trPr>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2020, and recorded $3.4 million of impairment expense related to our Advisory segment. No impairments on goodwill were recorded during the three months ended March 31, 2021 or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months ended March 31, 2021 or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10. LEASES</w:t>
      </w:r>
    </w:p>
    <w:p>
      <w:pPr>
        <w:spacing w:after="0" w:line="12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In February 2021, we sublet approximately 10,000 square feet of our Dallas, Texas office space to a third party. The agreement began in the first quarter of 2021 and provides for monthly rent of approximately $20,000 through the fourth quarter of 2025.</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February 2021, we terminated our Toronto, Ontario office space lease, originally expiring in October 2021.</w:t>
      </w:r>
    </w:p>
    <w:p>
      <w:pPr>
        <w:spacing w:after="0" w:line="11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As of March 31, 2021, aside from the above, there have been no material changes outside the ordinary course of business to our leases since December 31, 2020. For information regarding our leases, refer to Note 11 “Leases” in Part IV, Item 15. “Exhibits, Financial Statement Schedules” in our Annual Report on Form 10-K for the fiscal year ended December 31, 2020.</w:t>
      </w:r>
    </w:p>
    <w:p>
      <w:pPr>
        <w:spacing w:after="0" w:line="200" w:lineRule="exact"/>
        <w:rPr>
          <w:sz w:val="20"/>
          <w:szCs w:val="20"/>
          <w:color w:val="auto"/>
        </w:rPr>
      </w:pPr>
    </w:p>
    <w:p>
      <w:pPr>
        <w:spacing w:after="0" w:line="223" w:lineRule="exact"/>
        <w:rPr>
          <w:sz w:val="20"/>
          <w:szCs w:val="20"/>
          <w:color w:val="auto"/>
        </w:rPr>
      </w:pPr>
    </w:p>
    <w:p>
      <w:pPr>
        <w:ind w:right="8660" w:firstLine="8"/>
        <w:spacing w:after="0" w:line="378"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ind w:right="120" w:firstLine="486"/>
        <w:spacing w:after="0" w:line="277" w:lineRule="auto"/>
        <w:rPr>
          <w:sz w:val="20"/>
          <w:szCs w:val="20"/>
          <w:color w:val="auto"/>
        </w:rPr>
      </w:pPr>
      <w:r>
        <w:rPr>
          <w:rFonts w:ascii="Arial" w:cs="Arial" w:eastAsia="Arial" w:hAnsi="Arial"/>
          <w:sz w:val="18"/>
          <w:szCs w:val="18"/>
          <w:color w:val="auto"/>
        </w:rPr>
        <w:t>In February 2020, our Board of Directors authorized management to repurchase up to an additional $10.0 million of our outstanding common stock on the open market or in privately negotiated transactions. In April 2020, our Board 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Directors authorized management to repurchase up to an additional $10.0 million of share repurchases under our share repurchase program.</w:t>
      </w:r>
    </w:p>
    <w:p>
      <w:pPr>
        <w:spacing w:after="0" w:line="11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During the three months ended March 31, 2021, the Company repurchased 92,491 shares of our common stock at an average price of $15.19 per share, including commissions, for an aggregate purchase price of $1.4 million under our share repurchase plan. During the three months ended March 31, 2020, the Company repurchased 272,059 shares of our common stock at an average price of $17.89 per share, including commissions, for an aggregate purchase price of $4.9 million under our share repurchase plan.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w:t>
      </w:r>
      <w:r>
        <w:rPr>
          <w:rFonts w:ascii="Arial" w:cs="Arial" w:eastAsia="Arial" w:hAnsi="Arial"/>
          <w:sz w:val="18"/>
          <w:szCs w:val="18"/>
          <w:color w:val="222222"/>
        </w:rPr>
        <w:t>“Investments”</w:t>
      </w:r>
      <w:r>
        <w:rPr>
          <w:rFonts w:ascii="Arial" w:cs="Arial" w:eastAsia="Arial" w:hAnsi="Arial"/>
          <w:sz w:val="18"/>
          <w:szCs w:val="18"/>
          <w:color w:val="auto"/>
        </w:rPr>
        <w:t xml:space="preserve"> (“Private Equity”) to determine whether each of these entities is a variable interest entity (“VIE”) or voting ownership entity (“VOE”).</w:t>
      </w:r>
    </w:p>
    <w:p>
      <w:pPr>
        <w:spacing w:after="0" w:line="7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76"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5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Based on our analyses of our investments in these entities for the periods ended March 31, 2021 and December 31, 2020, we have not consolidated the CTFs or Private Funds under the VIE method or the Westwood Funds® or Private Equity under the VOE method.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recognized fee revenue from the Westwood VIEs and Westwood VOEs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2021</w:t>
            </w:r>
          </w:p>
        </w:tc>
        <w:tc>
          <w:tcPr>
            <w:tcW w:w="64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73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Fee Revenues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the AUM and the risk of loss in each vehicle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w w:val="93"/>
              </w:rPr>
              <w:t>As of March 31, 2021</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Assets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tcPr>
          <w:p>
            <w:pPr>
              <w:ind w:left="760"/>
              <w:spacing w:after="0"/>
              <w:rPr>
                <w:sz w:val="20"/>
                <w:szCs w:val="20"/>
                <w:color w:val="auto"/>
              </w:rPr>
            </w:pPr>
            <w:r>
              <w:rPr>
                <w:rFonts w:ascii="Arial" w:cs="Arial" w:eastAsia="Arial" w:hAnsi="Arial"/>
                <w:sz w:val="16"/>
                <w:szCs w:val="16"/>
                <w:b w:val="1"/>
                <w:bCs w:val="1"/>
                <w:color w:val="auto"/>
                <w:w w:val="91"/>
              </w:rPr>
              <w:t>Corporate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ind w:right="159"/>
              <w:spacing w:after="0" w:line="162" w:lineRule="exact"/>
              <w:rPr>
                <w:sz w:val="20"/>
                <w:szCs w:val="20"/>
                <w:color w:val="auto"/>
              </w:rPr>
            </w:pPr>
            <w:r>
              <w:rPr>
                <w:rFonts w:ascii="Arial" w:cs="Arial" w:eastAsia="Arial" w:hAnsi="Arial"/>
                <w:sz w:val="16"/>
                <w:szCs w:val="16"/>
                <w:b w:val="1"/>
                <w:bCs w:val="1"/>
                <w:color w:val="auto"/>
              </w:rPr>
              <w:t>Under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 at Risk</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Management</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Investment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VIEs/VOEs: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840"/>
              <w:spacing w:after="0"/>
              <w:rPr>
                <w:sz w:val="20"/>
                <w:szCs w:val="20"/>
                <w:color w:val="auto"/>
              </w:rPr>
            </w:pPr>
            <w:r>
              <w:rPr>
                <w:rFonts w:ascii="Arial" w:cs="Arial" w:eastAsia="Arial" w:hAnsi="Arial"/>
                <w:sz w:val="18"/>
                <w:szCs w:val="18"/>
                <w:color w:val="auto"/>
              </w:rPr>
              <w:t>Westwood Funds®</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2,564</w:t>
            </w:r>
          </w:p>
        </w:tc>
        <w:tc>
          <w:tcPr>
            <w:tcW w:w="15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Common Trust Funds</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840"/>
              <w:spacing w:after="0"/>
              <w:rPr>
                <w:sz w:val="20"/>
                <w:szCs w:val="20"/>
                <w:color w:val="auto"/>
              </w:rPr>
            </w:pPr>
            <w:r>
              <w:rPr>
                <w:rFonts w:ascii="Arial" w:cs="Arial" w:eastAsia="Arial" w:hAnsi="Arial"/>
                <w:sz w:val="18"/>
                <w:szCs w:val="18"/>
                <w:color w:val="auto"/>
              </w:rPr>
              <w:t>Private Funds</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0"/>
              </w:rPr>
              <w:t>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Private Equity</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0"/>
              </w:rPr>
              <w:t>8.3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0"/>
        </w:trPr>
        <w:tc>
          <w:tcPr>
            <w:tcW w:w="5700" w:type="dxa"/>
            <w:vAlign w:val="bottom"/>
          </w:tcPr>
          <w:p>
            <w:pPr>
              <w:ind w:left="520"/>
              <w:spacing w:after="0"/>
              <w:rPr>
                <w:sz w:val="20"/>
                <w:szCs w:val="20"/>
                <w:color w:val="auto"/>
              </w:rPr>
            </w:pPr>
            <w:r>
              <w:rPr>
                <w:rFonts w:ascii="Arial" w:cs="Arial" w:eastAsia="Arial" w:hAnsi="Arial"/>
                <w:sz w:val="18"/>
                <w:szCs w:val="18"/>
                <w:color w:val="auto"/>
              </w:rPr>
              <w:t>All other assets:</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Wealth Management</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3,342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Institutional</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7,569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 Under Management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14,493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13.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80" w:right="20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Some of our directors, executive officers and their affiliates invest personal funds directly in trust accounts that we manage. For both the three months ended March 31, 2021 and March 31, 2020, we recorded trust fees from these accounts of $0.1 million. There were no amounts due from these accounts as of March 31, 2021, and there was $0.1 million due from these accounts as of December 31, 2020.</w:t>
      </w:r>
    </w:p>
    <w:p>
      <w:pPr>
        <w:spacing w:after="0" w:line="5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engages in transactions with its affiliates in the ordinary course of business. Westwood International Advisors (prior to its closure, effective September 30, 2020) and Westwood Management provide investment advisory services to the UCITS Fund and the Westwood Funds®. Certain members of our management served on the board of directors of the UCITS Fund (liquidated as of June 2020). Under the terms of the investment advisory agreements, the Company earns quarterly fees paid by clients of the fund or by the funds directly. The fees are based on negotiated fee schedules applied to AUM. The Company earned no fees from the affiliated funds for the three months ended March 31, 2021, and earned $0.5 million for the three months ended March 31, 2020.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Declared</w:t>
      </w:r>
    </w:p>
    <w:p>
      <w:pPr>
        <w:spacing w:after="0" w:line="117"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On April 28, 2021, the Board of Directors declared a quarterly cash dividend of $0.10 per share of common stock payable on July 1, 2021 to stockholders of record on June 4,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ind w:right="104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Statements</w:t>
      </w:r>
    </w:p>
    <w:p>
      <w:pPr>
        <w:spacing w:after="0" w:line="2"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2020, filed with the SEC, and those risks set forth below:</w:t>
      </w:r>
    </w:p>
    <w:p>
      <w:pPr>
        <w:spacing w:after="0" w:line="6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composition and market value of our AUM;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inclusion of foreign company investments in our AUM;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operations and funds of our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organizational documents contain provisions that may prevent or deter another group from paying a premium over the market price to our stockholders to acquire our stock;</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6" w:name="page17"/>
    <w:bookmarkEnd w:id="16"/>
    <w:p>
      <w:pPr>
        <w:ind w:right="120" w:firstLine="486"/>
        <w:spacing w:after="0" w:line="263"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Advisors”) and Westwood Trust. Westwood Management provides investment advisory services to institutional investors, a family of mutual funds called the Westwood Funds®, other mutual funds, individuals and clients of Westwood Trust.</w:t>
      </w:r>
    </w:p>
    <w:p>
      <w:pPr>
        <w:spacing w:after="0" w:line="4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On July 27, 2020, Westwood’s Board of Directors approved the closure of Westwood International Advisors and Westwood’s office in Toronto, Canada.</w:t>
      </w:r>
    </w:p>
    <w:p>
      <w:pPr>
        <w:spacing w:after="0" w:line="62"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Westwood Trust provides trust and custodial services and participation in common trust funds to institutions and high net worth individuals. Our revenues are generally derived from fees based on a percentage of AUM. Westwood International Advisors provided investment advisory services to an Irish investment company authorized pursuant to the European Communities (Undertakings for Collective Investment in Transferable Securities) Regulation 2011 (as amended) (the “UCITS Fund”), which was liquidated in June 2020.</w:t>
      </w:r>
    </w:p>
    <w:p>
      <w:pPr>
        <w:spacing w:after="0" w:line="79"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We continue to closely monitor the impact of the COVID-19 pandemic on all aspects of our business, particularly the impact on global stock markets. Beginning in 2020, we have taken a number of precautionary measures designed to help minimize the risk of the spread of the virus to our employees, including suspending all non-essential travel for our employees and encouraging our employees to work remotely. The investments we have made in technology over the past several years, particularly our significant investments in cloud-based systems and business continuity planning, have allowed our entire team to serve our clients from their homes. While our ability to meet with clients declined at the beginning of the pandemic, we were able to rebound in the second half of the year as our clients embraced digital interactions.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58"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other revenues primarily consist of investment income from our seed money investments into new investment strategies.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Employee compensation and benefits expenses generally consist of salaries, incentive compensation, equity-based compensation and benefits.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5" w:right="399" w:bottom="1440" w:gutter="0" w:footer="0" w:header="0"/>
        </w:sectPr>
      </w:pPr>
    </w:p>
    <w:bookmarkStart w:id="17" w:name="page18"/>
    <w:bookmarkEnd w:id="17"/>
    <w:p>
      <w:pPr>
        <w:ind w:left="500"/>
        <w:spacing w:after="0"/>
        <w:rPr>
          <w:sz w:val="20"/>
          <w:szCs w:val="20"/>
          <w:color w:val="auto"/>
        </w:rPr>
      </w:pPr>
      <w:r>
        <w:rPr>
          <w:rFonts w:ascii="Arial" w:cs="Arial" w:eastAsia="Arial" w:hAnsi="Arial"/>
          <w:sz w:val="17"/>
          <w:szCs w:val="17"/>
          <w:color w:val="auto"/>
        </w:rPr>
        <w:t>Sales and marketing expenses relate to our marketing efforts, including travel and entertainment, direct marketing and advertising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tax, legal and other professional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Gain (loss) on foreign currency transactions consists of foreign currency transactions primarily related to Westwood International Advisors.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Gains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Realized gains on private investments includes amounts by which the net proceeds from the sale or redemption of our private investments exceeded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appreciation (depreciation)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change in unrealized appreciation (depreciation) on private investments includes changes in the value of our private equity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consists of income from the sublease of a portion of our corporate offices.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Under Management</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AUM increased $2.9 billion to $14.5 billion at March 31, 2021 compared with $11.6 billion at March 31, 2020. The average of beginning and ending AUM for the first quarter of 2021 was $13.8 billion compared to $13.4 billion for the first quarter of 2020.</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AUM as of March 31, 2021 and 2020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 March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8"/>
                <w:szCs w:val="18"/>
                <w:color w:val="auto"/>
              </w:rPr>
            </w:pPr>
          </w:p>
        </w:tc>
      </w:tr>
      <w:tr>
        <w:trPr>
          <w:trHeight w:val="226"/>
        </w:trPr>
        <w:tc>
          <w:tcPr>
            <w:tcW w:w="6020" w:type="dxa"/>
            <w:vAlign w:val="bottom"/>
            <w:shd w:val="clear" w:color="auto" w:fill="CCEEFF"/>
          </w:tcPr>
          <w:p>
            <w:pPr>
              <w:ind w:left="520"/>
              <w:spacing w:after="0" w:line="225" w:lineRule="exact"/>
              <w:rPr>
                <w:sz w:val="20"/>
                <w:szCs w:val="20"/>
                <w:color w:val="auto"/>
              </w:rPr>
            </w:pPr>
            <w:r>
              <w:rPr>
                <w:rFonts w:ascii="Arial" w:cs="Arial" w:eastAsia="Arial" w:hAnsi="Arial"/>
                <w:sz w:val="18"/>
                <w:szCs w:val="18"/>
                <w:color w:val="auto"/>
              </w:rPr>
              <w:t>Institutional</w:t>
            </w:r>
            <w:r>
              <w:rPr>
                <w:rFonts w:ascii="Arial" w:cs="Arial" w:eastAsia="Arial" w:hAnsi="Arial"/>
                <w:sz w:val="23"/>
                <w:szCs w:val="23"/>
                <w:color w:val="auto"/>
                <w:vertAlign w:val="superscript"/>
              </w:rPr>
              <w:t>(1)</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480" w:type="dxa"/>
            <w:vAlign w:val="bottom"/>
            <w:gridSpan w:val="2"/>
            <w:shd w:val="clear" w:color="auto" w:fill="CCEEFF"/>
          </w:tcPr>
          <w:p>
            <w:pPr>
              <w:jc w:val="right"/>
              <w:ind w:right="388"/>
              <w:spacing w:after="0"/>
              <w:rPr>
                <w:sz w:val="20"/>
                <w:szCs w:val="20"/>
                <w:color w:val="auto"/>
              </w:rPr>
            </w:pPr>
            <w:r>
              <w:rPr>
                <w:rFonts w:ascii="Arial" w:cs="Arial" w:eastAsia="Arial" w:hAnsi="Arial"/>
                <w:sz w:val="17"/>
                <w:szCs w:val="17"/>
                <w:color w:val="auto"/>
              </w:rPr>
              <w:t>19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020" w:type="dxa"/>
            <w:vAlign w:val="bottom"/>
          </w:tcPr>
          <w:p>
            <w:pPr>
              <w:ind w:left="520"/>
              <w:spacing w:after="0" w:line="230" w:lineRule="exact"/>
              <w:rPr>
                <w:sz w:val="20"/>
                <w:szCs w:val="20"/>
                <w:color w:val="auto"/>
              </w:rPr>
            </w:pPr>
            <w:r>
              <w:rPr>
                <w:rFonts w:ascii="Arial" w:cs="Arial" w:eastAsia="Arial" w:hAnsi="Arial"/>
                <w:sz w:val="18"/>
                <w:szCs w:val="18"/>
                <w:color w:val="auto"/>
              </w:rPr>
              <w:t>Wealth Management</w:t>
            </w:r>
            <w:r>
              <w:rPr>
                <w:rFonts w:ascii="Arial" w:cs="Arial" w:eastAsia="Arial" w:hAnsi="Arial"/>
                <w:sz w:val="23"/>
                <w:szCs w:val="23"/>
                <w:color w:val="auto"/>
                <w:vertAlign w:val="superscript"/>
              </w:rPr>
              <w:t>(2)</w:t>
            </w: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3,765</w:t>
            </w:r>
          </w:p>
        </w:tc>
        <w:tc>
          <w:tcPr>
            <w:tcW w:w="1480" w:type="dxa"/>
            <w:vAlign w:val="bottom"/>
            <w:gridSpan w:val="2"/>
          </w:tcPr>
          <w:p>
            <w:pPr>
              <w:jc w:val="right"/>
              <w:ind w:right="388"/>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9"/>
                <w:szCs w:val="19"/>
                <w:color w:val="auto"/>
              </w:rPr>
            </w:pPr>
          </w:p>
        </w:tc>
      </w:tr>
      <w:tr>
        <w:trPr>
          <w:trHeight w:val="230"/>
        </w:trPr>
        <w:tc>
          <w:tcPr>
            <w:tcW w:w="6020" w:type="dxa"/>
            <w:vAlign w:val="bottom"/>
            <w:shd w:val="clear" w:color="auto" w:fill="CCEEFF"/>
          </w:tcPr>
          <w:p>
            <w:pPr>
              <w:ind w:left="52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(3)</w:t>
            </w:r>
          </w:p>
        </w:tc>
        <w:tc>
          <w:tcPr>
            <w:tcW w:w="7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80" w:type="dxa"/>
            <w:vAlign w:val="bottom"/>
            <w:gridSpan w:val="2"/>
            <w:shd w:val="clear" w:color="auto" w:fill="CCEEFF"/>
          </w:tcPr>
          <w:p>
            <w:pPr>
              <w:jc w:val="right"/>
              <w:ind w:right="388"/>
              <w:spacing w:after="0"/>
              <w:rPr>
                <w:sz w:val="20"/>
                <w:szCs w:val="20"/>
                <w:color w:val="auto"/>
              </w:rPr>
            </w:pPr>
            <w:r>
              <w:rPr>
                <w:rFonts w:ascii="Arial" w:cs="Arial" w:eastAsia="Arial" w:hAnsi="Arial"/>
                <w:sz w:val="17"/>
                <w:szCs w:val="17"/>
                <w:color w:val="auto"/>
              </w:rPr>
              <w:t>71</w:t>
            </w:r>
          </w:p>
        </w:tc>
        <w:tc>
          <w:tcPr>
            <w:tcW w:w="240" w:type="dxa"/>
            <w:vAlign w:val="bottom"/>
            <w:shd w:val="clear" w:color="auto" w:fill="CCEEFF"/>
          </w:tcPr>
          <w:p>
            <w:pPr>
              <w:spacing w:after="0"/>
              <w:rPr>
                <w:sz w:val="19"/>
                <w:szCs w:val="19"/>
                <w:color w:val="auto"/>
              </w:rPr>
            </w:pPr>
          </w:p>
        </w:tc>
      </w:tr>
      <w:tr>
        <w:trPr>
          <w:trHeight w:val="223"/>
        </w:trPr>
        <w:tc>
          <w:tcPr>
            <w:tcW w:w="6020" w:type="dxa"/>
            <w:vAlign w:val="bottom"/>
          </w:tcPr>
          <w:p>
            <w:pPr>
              <w:ind w:left="520"/>
              <w:spacing w:after="0"/>
              <w:rPr>
                <w:sz w:val="20"/>
                <w:szCs w:val="20"/>
                <w:color w:val="auto"/>
              </w:rPr>
            </w:pPr>
            <w:r>
              <w:rPr>
                <w:rFonts w:ascii="Arial" w:cs="Arial" w:eastAsia="Arial" w:hAnsi="Arial"/>
                <w:sz w:val="18"/>
                <w:szCs w:val="18"/>
                <w:b w:val="1"/>
                <w:bCs w:val="1"/>
                <w:color w:val="auto"/>
              </w:rPr>
              <w:t>Total AUM</w:t>
            </w:r>
            <w:r>
              <w:rPr>
                <w:rFonts w:ascii="Arial" w:cs="Arial" w:eastAsia="Arial" w:hAnsi="Arial"/>
                <w:sz w:val="9"/>
                <w:szCs w:val="9"/>
                <w:b w:val="1"/>
                <w:bCs w:val="1"/>
                <w:color w:val="auto"/>
              </w:rPr>
              <w:t>(4)</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w:t>
            </w:r>
          </w:p>
        </w:tc>
        <w:tc>
          <w:tcPr>
            <w:tcW w:w="1480" w:type="dxa"/>
            <w:vAlign w:val="bottom"/>
            <w:gridSpan w:val="2"/>
          </w:tcPr>
          <w:p>
            <w:pPr>
              <w:jc w:val="right"/>
              <w:ind w:right="388"/>
              <w:spacing w:after="0"/>
              <w:rPr>
                <w:sz w:val="20"/>
                <w:szCs w:val="20"/>
                <w:color w:val="auto"/>
              </w:rPr>
            </w:pPr>
            <w:r>
              <w:rPr>
                <w:rFonts w:ascii="Arial" w:cs="Arial" w:eastAsia="Arial" w:hAnsi="Arial"/>
                <w:sz w:val="17"/>
                <w:szCs w:val="17"/>
                <w:color w:val="auto"/>
              </w:rPr>
              <w:t>25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57" w:lineRule="auto"/>
        <w:tabs>
          <w:tab w:leader="none" w:pos="332" w:val="left"/>
        </w:tabs>
        <w:numPr>
          <w:ilvl w:val="0"/>
          <w:numId w:val="9"/>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4"/>
          <w:szCs w:val="14"/>
          <w:color w:val="auto"/>
        </w:rPr>
        <w:t>relationships with brokerage firms and other registered investment advisors that offer Westwood products to their customers. The UCITS Fund was liquidated in June 2020.</w:t>
      </w:r>
    </w:p>
    <w:p>
      <w:pPr>
        <w:spacing w:after="0" w:line="13" w:lineRule="exact"/>
        <w:rPr>
          <w:sz w:val="20"/>
          <w:szCs w:val="20"/>
          <w:color w:val="auto"/>
        </w:rPr>
      </w:pPr>
    </w:p>
    <w:p>
      <w:pPr>
        <w:jc w:val="both"/>
        <w:ind w:left="340" w:hanging="332"/>
        <w:spacing w:after="0" w:line="241"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Westwood International Advisors (prior to its closure, effective September 30, 2020) and external unaffiliated subadvisors. For certain assets in this category Westwood Trust currently provides limited custody services for a minimal or no fee, viewing these assets as potentially converting to fee-generating managed assets in the future.</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as well as offered as part of our investment strategies for institutional and wealth management accounts.</w:t>
      </w:r>
    </w:p>
    <w:p>
      <w:pPr>
        <w:ind w:left="340" w:hanging="332"/>
        <w:spacing w:after="0" w:line="255"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AUM excludes $272 million and $222 million of assets under advisement (“AUA”) as of March 31, 2021 and 2020,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3"/>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2"/>
              </w:rPr>
              <w:t>Institutional</w:t>
            </w:r>
          </w:p>
        </w:tc>
        <w:tc>
          <w:tcPr>
            <w:tcW w:w="774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6,567</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8,739</w:t>
            </w:r>
          </w:p>
        </w:tc>
      </w:tr>
      <w:tr>
        <w:trPr>
          <w:trHeight w:val="216"/>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Inflows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r>
      <w:tr>
        <w:trPr>
          <w:trHeight w:val="216"/>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5"/>
          </w:tcPr>
          <w:p>
            <w:pPr>
              <w:ind w:left="340"/>
              <w:spacing w:after="0"/>
              <w:rPr>
                <w:sz w:val="20"/>
                <w:szCs w:val="20"/>
                <w:color w:val="auto"/>
              </w:rPr>
            </w:pPr>
            <w:r>
              <w:rPr>
                <w:rFonts w:ascii="Arial" w:cs="Arial" w:eastAsia="Arial" w:hAnsi="Arial"/>
                <w:sz w:val="17"/>
                <w:szCs w:val="17"/>
                <w:color w:val="auto"/>
              </w:rPr>
              <w:t>Outflows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w:t>
            </w:r>
          </w:p>
        </w:tc>
      </w:tr>
      <w:tr>
        <w:trPr>
          <w:trHeight w:val="210"/>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Net client flows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r>
      <w:tr>
        <w:trPr>
          <w:trHeight w:val="216"/>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5"/>
          </w:tcPr>
          <w:p>
            <w:pPr>
              <w:ind w:left="340"/>
              <w:spacing w:after="0"/>
              <w:rPr>
                <w:sz w:val="20"/>
                <w:szCs w:val="20"/>
                <w:color w:val="auto"/>
              </w:rPr>
            </w:pPr>
            <w:r>
              <w:rPr>
                <w:rFonts w:ascii="Arial" w:cs="Arial" w:eastAsia="Arial" w:hAnsi="Arial"/>
                <w:sz w:val="17"/>
                <w:szCs w:val="17"/>
                <w:color w:val="auto"/>
              </w:rPr>
              <w:t>Market appreciation (depreciation)</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(1,986)</w:t>
            </w:r>
          </w:p>
        </w:tc>
      </w:tr>
      <w:tr>
        <w:trPr>
          <w:trHeight w:val="209"/>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(2,404)</w:t>
            </w:r>
          </w:p>
        </w:tc>
      </w:tr>
      <w:tr>
        <w:trPr>
          <w:trHeight w:val="210"/>
        </w:trPr>
        <w:tc>
          <w:tcPr>
            <w:tcW w:w="20" w:type="dxa"/>
            <w:vAlign w:val="bottom"/>
          </w:tcPr>
          <w:p>
            <w:pPr>
              <w:spacing w:after="0"/>
              <w:rPr>
                <w:sz w:val="18"/>
                <w:szCs w:val="18"/>
                <w:color w:val="auto"/>
              </w:rPr>
            </w:pPr>
          </w:p>
        </w:tc>
        <w:tc>
          <w:tcPr>
            <w:tcW w:w="870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7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Wealth Management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4,438</w:t>
            </w: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7"/>
                <w:szCs w:val="17"/>
                <w:color w:val="auto"/>
              </w:rPr>
              <w:t>Inflows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16"/>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Outflows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09"/>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7"/>
                <w:szCs w:val="17"/>
                <w:color w:val="auto"/>
              </w:rPr>
              <w:t>Net client flows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6"/>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Market appreciation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w:t>
            </w:r>
          </w:p>
        </w:tc>
      </w:tr>
      <w:tr>
        <w:trPr>
          <w:trHeight w:val="210"/>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8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Mutual Funds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2,143</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2,058</w:t>
            </w:r>
          </w:p>
        </w:tc>
      </w:tr>
      <w:tr>
        <w:trPr>
          <w:trHeight w:val="216"/>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Inflows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16"/>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5"/>
          </w:tcPr>
          <w:p>
            <w:pPr>
              <w:ind w:left="340"/>
              <w:spacing w:after="0"/>
              <w:rPr>
                <w:sz w:val="20"/>
                <w:szCs w:val="20"/>
                <w:color w:val="auto"/>
              </w:rPr>
            </w:pPr>
            <w:r>
              <w:rPr>
                <w:rFonts w:ascii="Arial" w:cs="Arial" w:eastAsia="Arial" w:hAnsi="Arial"/>
                <w:sz w:val="17"/>
                <w:szCs w:val="17"/>
                <w:color w:val="auto"/>
              </w:rPr>
              <w:t>Outflows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r>
      <w:tr>
        <w:trPr>
          <w:trHeight w:val="209"/>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Net client flows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16"/>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5"/>
          </w:tcPr>
          <w:p>
            <w:pPr>
              <w:ind w:left="340"/>
              <w:spacing w:after="0"/>
              <w:rPr>
                <w:sz w:val="20"/>
                <w:szCs w:val="20"/>
                <w:color w:val="auto"/>
              </w:rPr>
            </w:pPr>
            <w:r>
              <w:rPr>
                <w:rFonts w:ascii="Arial" w:cs="Arial" w:eastAsia="Arial" w:hAnsi="Arial"/>
                <w:sz w:val="17"/>
                <w:szCs w:val="17"/>
                <w:color w:val="auto"/>
              </w:rPr>
              <w:t>Market appreciation (depreciation)</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r>
      <w:tr>
        <w:trPr>
          <w:trHeight w:val="209"/>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w:t>
            </w:r>
          </w:p>
        </w:tc>
      </w:tr>
      <w:tr>
        <w:trPr>
          <w:trHeight w:val="210"/>
        </w:trPr>
        <w:tc>
          <w:tcPr>
            <w:tcW w:w="20" w:type="dxa"/>
            <w:vAlign w:val="bottom"/>
          </w:tcPr>
          <w:p>
            <w:pPr>
              <w:spacing w:after="0"/>
              <w:rPr>
                <w:sz w:val="18"/>
                <w:szCs w:val="18"/>
                <w:color w:val="auto"/>
              </w:rPr>
            </w:pPr>
          </w:p>
        </w:tc>
        <w:tc>
          <w:tcPr>
            <w:tcW w:w="870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7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Total AUM</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15,235</w:t>
            </w:r>
          </w:p>
        </w:tc>
      </w:tr>
      <w:tr>
        <w:trPr>
          <w:trHeight w:val="216"/>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7"/>
                <w:szCs w:val="17"/>
                <w:color w:val="auto"/>
              </w:rPr>
              <w:t>Inflows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560</w:t>
            </w:r>
          </w:p>
        </w:tc>
      </w:tr>
      <w:tr>
        <w:trPr>
          <w:trHeight w:val="216"/>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Outflows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w:t>
            </w:r>
          </w:p>
        </w:tc>
      </w:tr>
      <w:tr>
        <w:trPr>
          <w:trHeight w:val="210"/>
        </w:trPr>
        <w:tc>
          <w:tcPr>
            <w:tcW w:w="20" w:type="dxa"/>
            <w:vAlign w:val="bottom"/>
          </w:tcPr>
          <w:p>
            <w:pPr>
              <w:spacing w:after="0"/>
              <w:rPr>
                <w:sz w:val="18"/>
                <w:szCs w:val="18"/>
                <w:color w:val="auto"/>
              </w:rPr>
            </w:pPr>
          </w:p>
        </w:tc>
        <w:tc>
          <w:tcPr>
            <w:tcW w:w="8700" w:type="dxa"/>
            <w:vAlign w:val="bottom"/>
            <w:gridSpan w:val="5"/>
          </w:tcPr>
          <w:p>
            <w:pPr>
              <w:ind w:left="340"/>
              <w:spacing w:after="0"/>
              <w:rPr>
                <w:sz w:val="20"/>
                <w:szCs w:val="20"/>
                <w:color w:val="auto"/>
              </w:rPr>
            </w:pPr>
            <w:r>
              <w:rPr>
                <w:rFonts w:ascii="Arial" w:cs="Arial" w:eastAsia="Arial" w:hAnsi="Arial"/>
                <w:sz w:val="17"/>
                <w:szCs w:val="17"/>
                <w:color w:val="auto"/>
              </w:rPr>
              <w:t>Net client flows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(608)</w:t>
            </w:r>
          </w:p>
        </w:tc>
      </w:tr>
      <w:tr>
        <w:trPr>
          <w:trHeight w:val="216"/>
        </w:trPr>
        <w:tc>
          <w:tcPr>
            <w:tcW w:w="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Market appreciation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(3,027)</w:t>
            </w:r>
          </w:p>
        </w:tc>
      </w:tr>
      <w:tr>
        <w:trPr>
          <w:trHeight w:val="210"/>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(3,635)</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14,493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and 2020</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$1.4 billion increase in AUM for the three months ended March 31, 2021 was due to market appreciation of $0.9 billion and net inflows of $0.6 billion. Net inflows were primarily related to our SmallCap strategy.</w:t>
      </w:r>
    </w:p>
    <w:p>
      <w:pPr>
        <w:spacing w:after="0" w:line="116"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The $3.6 billion decrease in AUM for the three months ended March 31, 2020 was due to market depreciation of $3.0 billion and net outflows of $608 million. Net outflows were primarily related to our LargeCap Value and Income Opportunity strategies, partially offset by net inflows to our SmallCap Value strategies.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20" w:name="page21"/>
    <w:bookmarkEnd w:id="20"/>
    <w:p>
      <w:pPr>
        <w:jc w:val="both"/>
        <w:ind w:right="80" w:firstLine="486"/>
        <w:spacing w:after="0" w:line="263"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4"/>
        </w:trPr>
        <w:tc>
          <w:tcPr>
            <w:tcW w:w="6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5"/>
                <w:szCs w:val="15"/>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63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w w:val="89"/>
              </w:rPr>
              <w:t>2020</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b w:val="1"/>
                <w:bCs w:val="1"/>
                <w:color w:val="auto"/>
              </w:rPr>
              <w:t>Change</w:t>
            </w:r>
          </w:p>
        </w:tc>
      </w:tr>
      <w:tr>
        <w:trPr>
          <w:trHeight w:val="196"/>
        </w:trPr>
        <w:tc>
          <w:tcPr>
            <w:tcW w:w="63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Revenues:</w:t>
            </w: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Advisory fees: asset-based</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10,450</w:t>
            </w:r>
          </w:p>
        </w:tc>
        <w:tc>
          <w:tcPr>
            <w:tcW w:w="10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11,102</w:t>
            </w:r>
          </w:p>
        </w:tc>
        <w:tc>
          <w:tcPr>
            <w:tcW w:w="1140" w:type="dxa"/>
            <w:vAlign w:val="bottom"/>
            <w:gridSpan w:val="2"/>
          </w:tcPr>
          <w:p>
            <w:pPr>
              <w:jc w:val="right"/>
              <w:ind w:right="90"/>
              <w:spacing w:after="0"/>
              <w:rPr>
                <w:sz w:val="20"/>
                <w:szCs w:val="20"/>
                <w:color w:val="auto"/>
              </w:rPr>
            </w:pPr>
            <w:r>
              <w:rPr>
                <w:rFonts w:ascii="Arial" w:cs="Arial" w:eastAsia="Arial" w:hAnsi="Arial"/>
                <w:sz w:val="16"/>
                <w:szCs w:val="16"/>
                <w:color w:val="auto"/>
              </w:rPr>
              <w:t>(6)</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Advisory fees: performance-based</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Trust fees: asset-based</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6,065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5,951</w:t>
            </w:r>
          </w:p>
        </w:tc>
        <w:tc>
          <w:tcPr>
            <w:tcW w:w="1140" w:type="dxa"/>
            <w:vAlign w:val="bottom"/>
            <w:gridSpan w:val="2"/>
          </w:tcPr>
          <w:p>
            <w:pPr>
              <w:jc w:val="right"/>
              <w:ind w:right="13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 net</w:t>
            </w: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(60)</w:t>
            </w:r>
          </w:p>
        </w:tc>
        <w:tc>
          <w:tcPr>
            <w:tcW w:w="460" w:type="dxa"/>
            <w:vAlign w:val="bottom"/>
            <w:shd w:val="clear" w:color="auto" w:fill="CCEEFF"/>
          </w:tcPr>
          <w:p>
            <w:pPr>
              <w:spacing w:after="0"/>
              <w:rPr>
                <w:sz w:val="19"/>
                <w:szCs w:val="19"/>
                <w:color w:val="auto"/>
              </w:rPr>
            </w:pPr>
          </w:p>
        </w:tc>
      </w:tr>
      <w:tr>
        <w:trPr>
          <w:trHeight w:val="207"/>
        </w:trPr>
        <w:tc>
          <w:tcPr>
            <w:tcW w:w="6340" w:type="dxa"/>
            <w:vAlign w:val="bottom"/>
          </w:tcPr>
          <w:p>
            <w:pPr>
              <w:ind w:left="960"/>
              <w:spacing w:after="0"/>
              <w:rPr>
                <w:sz w:val="20"/>
                <w:szCs w:val="20"/>
                <w:color w:val="auto"/>
              </w:rPr>
            </w:pPr>
            <w:r>
              <w:rPr>
                <w:rFonts w:ascii="Arial" w:cs="Arial" w:eastAsia="Arial" w:hAnsi="Arial"/>
                <w:sz w:val="16"/>
                <w:szCs w:val="16"/>
                <w:color w:val="auto"/>
              </w:rPr>
              <w:t>Total revenues</w:t>
            </w:r>
          </w:p>
        </w:tc>
        <w:tc>
          <w:tcPr>
            <w:tcW w:w="7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18,319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16,669</w:t>
            </w:r>
          </w:p>
        </w:tc>
        <w:tc>
          <w:tcPr>
            <w:tcW w:w="1140" w:type="dxa"/>
            <w:vAlign w:val="bottom"/>
            <w:gridSpan w:val="2"/>
          </w:tcPr>
          <w:p>
            <w:pPr>
              <w:jc w:val="right"/>
              <w:ind w:right="13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7"/>
                <w:szCs w:val="17"/>
                <w:color w:val="auto"/>
              </w:rPr>
            </w:pPr>
          </w:p>
        </w:tc>
      </w:tr>
      <w:tr>
        <w:trPr>
          <w:trHeight w:val="219"/>
        </w:trPr>
        <w:tc>
          <w:tcPr>
            <w:tcW w:w="63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Expenses:</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Employee compensation and benefits</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11,548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12,668</w:t>
            </w:r>
          </w:p>
        </w:tc>
        <w:tc>
          <w:tcPr>
            <w:tcW w:w="1140" w:type="dxa"/>
            <w:vAlign w:val="bottom"/>
            <w:gridSpan w:val="2"/>
          </w:tcPr>
          <w:p>
            <w:pPr>
              <w:jc w:val="right"/>
              <w:ind w:right="90"/>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Sales and marketing</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(52)</w:t>
            </w:r>
          </w:p>
        </w:tc>
        <w:tc>
          <w:tcPr>
            <w:tcW w:w="46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Westwood mutual funds</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515</w:t>
            </w:r>
          </w:p>
        </w:tc>
        <w:tc>
          <w:tcPr>
            <w:tcW w:w="1140" w:type="dxa"/>
            <w:vAlign w:val="bottom"/>
            <w:gridSpan w:val="2"/>
          </w:tcPr>
          <w:p>
            <w:pPr>
              <w:jc w:val="right"/>
              <w:ind w:right="90"/>
              <w:spacing w:after="0"/>
              <w:rPr>
                <w:sz w:val="20"/>
                <w:szCs w:val="20"/>
                <w:color w:val="auto"/>
              </w:rPr>
            </w:pPr>
            <w:r>
              <w:rPr>
                <w:rFonts w:ascii="Arial" w:cs="Arial" w:eastAsia="Arial" w:hAnsi="Arial"/>
                <w:sz w:val="16"/>
                <w:szCs w:val="16"/>
                <w:color w:val="auto"/>
              </w:rPr>
              <w:t>(24)</w:t>
            </w:r>
          </w:p>
        </w:tc>
        <w:tc>
          <w:tcPr>
            <w:tcW w:w="46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Information technology</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(2)</w:t>
            </w:r>
          </w:p>
        </w:tc>
        <w:tc>
          <w:tcPr>
            <w:tcW w:w="46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Professional services</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1,193</w:t>
            </w:r>
          </w:p>
        </w:tc>
        <w:tc>
          <w:tcPr>
            <w:tcW w:w="1140" w:type="dxa"/>
            <w:vAlign w:val="bottom"/>
            <w:gridSpan w:val="2"/>
          </w:tcPr>
          <w:p>
            <w:pPr>
              <w:jc w:val="right"/>
              <w:ind w:right="13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General and administrative</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(10)</w:t>
            </w:r>
          </w:p>
        </w:tc>
        <w:tc>
          <w:tcPr>
            <w:tcW w:w="46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Gain on foreign currency transactions</w:t>
            </w:r>
          </w:p>
        </w:tc>
        <w:tc>
          <w:tcPr>
            <w:tcW w:w="7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(2,938)</w:t>
            </w:r>
          </w:p>
        </w:tc>
        <w:tc>
          <w:tcPr>
            <w:tcW w:w="1140" w:type="dxa"/>
            <w:vAlign w:val="bottom"/>
            <w:gridSpan w:val="2"/>
          </w:tcPr>
          <w:p>
            <w:pPr>
              <w:jc w:val="right"/>
              <w:ind w:right="90"/>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18"/>
                <w:szCs w:val="18"/>
                <w:color w:val="auto"/>
              </w:rPr>
            </w:pPr>
          </w:p>
        </w:tc>
      </w:tr>
      <w:tr>
        <w:trPr>
          <w:trHeight w:val="212"/>
        </w:trPr>
        <w:tc>
          <w:tcPr>
            <w:tcW w:w="6340" w:type="dxa"/>
            <w:vAlign w:val="bottom"/>
            <w:tcBorders>
              <w:top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Total expenses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16,253</w:t>
            </w:r>
          </w:p>
        </w:tc>
        <w:tc>
          <w:tcPr>
            <w:tcW w:w="1140" w:type="dxa"/>
            <w:vAlign w:val="bottom"/>
            <w:tcBorders>
              <w:top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6"/>
                <w:szCs w:val="16"/>
                <w:color w:val="auto"/>
              </w:rPr>
              <w:t>8</w:t>
            </w:r>
          </w:p>
        </w:tc>
        <w:tc>
          <w:tcPr>
            <w:tcW w:w="460" w:type="dxa"/>
            <w:vAlign w:val="bottom"/>
            <w:tcBorders>
              <w:top w:val="single" w:sz="8" w:color="CCEEFF"/>
            </w:tcBorders>
            <w:shd w:val="clear" w:color="auto" w:fill="CCEEFF"/>
          </w:tcPr>
          <w:p>
            <w:pPr>
              <w:spacing w:after="0"/>
              <w:rPr>
                <w:sz w:val="18"/>
                <w:szCs w:val="18"/>
                <w:color w:val="auto"/>
              </w:rPr>
            </w:pPr>
          </w:p>
        </w:tc>
      </w:tr>
      <w:tr>
        <w:trPr>
          <w:trHeight w:val="207"/>
        </w:trPr>
        <w:tc>
          <w:tcPr>
            <w:tcW w:w="634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Net operating income</w:t>
            </w:r>
          </w:p>
        </w:tc>
        <w:tc>
          <w:tcPr>
            <w:tcW w:w="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r>
      <w:tr>
        <w:trPr>
          <w:trHeight w:val="213"/>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Realized gains on private investments</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Net change in unrealized appreciation (depreciation) on private investments</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Investment income</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63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Other income</w:t>
            </w: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14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6"/>
                <w:szCs w:val="16"/>
                <w:color w:val="auto"/>
              </w:rPr>
              <w:t>47</w:t>
            </w:r>
          </w:p>
        </w:tc>
        <w:tc>
          <w:tcPr>
            <w:tcW w:w="460" w:type="dxa"/>
            <w:vAlign w:val="bottom"/>
            <w:tcBorders>
              <w:bottom w:val="single" w:sz="8" w:color="CCEEFF"/>
            </w:tcBorders>
          </w:tcPr>
          <w:p>
            <w:pPr>
              <w:spacing w:after="0"/>
              <w:rPr>
                <w:sz w:val="18"/>
                <w:szCs w:val="18"/>
                <w:color w:val="auto"/>
              </w:rPr>
            </w:pPr>
          </w:p>
        </w:tc>
      </w:tr>
      <w:tr>
        <w:trPr>
          <w:trHeight w:val="212"/>
        </w:trPr>
        <w:tc>
          <w:tcPr>
            <w:tcW w:w="63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Income (loss) before income taxes</w:t>
            </w:r>
          </w:p>
        </w:tc>
        <w:tc>
          <w:tcPr>
            <w:tcW w:w="7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7,014</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06"/>
        </w:trPr>
        <w:tc>
          <w:tcPr>
            <w:tcW w:w="63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Income tax expense (benefit)</w:t>
            </w:r>
          </w:p>
        </w:tc>
        <w:tc>
          <w:tcPr>
            <w:tcW w:w="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w:t>
            </w:r>
          </w:p>
        </w:tc>
        <w:tc>
          <w:tcPr>
            <w:tcW w:w="114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6"/>
                <w:szCs w:val="16"/>
                <w:color w:val="auto"/>
              </w:rPr>
              <w:t>(364)</w:t>
            </w:r>
          </w:p>
        </w:tc>
        <w:tc>
          <w:tcPr>
            <w:tcW w:w="460" w:type="dxa"/>
            <w:vAlign w:val="bottom"/>
            <w:tcBorders>
              <w:bottom w:val="single" w:sz="8" w:color="CCEEFF"/>
            </w:tcBorders>
          </w:tcPr>
          <w:p>
            <w:pPr>
              <w:spacing w:after="0"/>
              <w:rPr>
                <w:sz w:val="17"/>
                <w:szCs w:val="17"/>
                <w:color w:val="auto"/>
              </w:rPr>
            </w:pPr>
          </w:p>
        </w:tc>
      </w:tr>
      <w:tr>
        <w:trPr>
          <w:trHeight w:val="238"/>
        </w:trPr>
        <w:tc>
          <w:tcPr>
            <w:tcW w:w="6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Net income (loss)</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6"/>
                <w:szCs w:val="16"/>
                <w:color w:val="auto"/>
              </w:rPr>
              <w:t>272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3"/>
          <w:szCs w:val="13"/>
          <w:color w:val="auto"/>
        </w:rPr>
        <w:t>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17"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revenues increased $1.6 million, or 10%, to $18.3 million for the three months ended March 31, 2021 compared with $16.7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2020. Asset-based advisory fees decreased $0.6 million, or 6%, and Trust fees increased $0.1 million, or 2%. Performance-based advisory fees increased $2.0 million, due to higher realization of performance fees in the three months ended March 31, 2021.</w:t>
      </w:r>
    </w:p>
    <w:p>
      <w:pPr>
        <w:spacing w:after="0" w:line="95"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decreased $1.2 million, or 9%, to $11.5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compared with $12.7 million for the three months ended March 31, 2020. The decrease was primarily due to reductions in headcount and stock-based compensation expense.</w:t>
      </w:r>
    </w:p>
    <w:p>
      <w:pPr>
        <w:spacing w:after="0" w:line="130"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$0.3 million, or 52%, to $0.2 million for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$0.5 million for the three months ended March 31, 2020. The decrease was primarily due to lower travel costs as a result of COVID-19.</w:t>
      </w:r>
    </w:p>
    <w:p>
      <w:pPr>
        <w:spacing w:after="0" w:line="70"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foreign currency gains and losses as a result of fluctuations in the Canadian dollar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 prior to closing WIA in 2020.</w:t>
      </w:r>
    </w:p>
    <w:p>
      <w:pPr>
        <w:spacing w:after="0" w:line="116"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i w:val="1"/>
          <w:iCs w:val="1"/>
          <w:color w:val="auto"/>
        </w:rPr>
        <w:t xml:space="preserve">Realized gains on private investments. </w:t>
      </w:r>
      <w:r>
        <w:rPr>
          <w:rFonts w:ascii="Arial" w:cs="Arial" w:eastAsia="Arial" w:hAnsi="Arial"/>
          <w:sz w:val="18"/>
          <w:szCs w:val="18"/>
          <w:color w:val="auto"/>
        </w:rPr>
        <w:t>Following InvestCloud's recapitalization in the first quarter of 2021, we recorded a realized gain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$8.3 million.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1" w:name="page22"/>
    <w:bookmarkEnd w:id="21"/>
    <w:p>
      <w:pPr>
        <w:ind w:firstLine="486"/>
        <w:spacing w:after="0" w:line="25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Our effective tax rate of 41.5% differed from the 21% statutory rate for the first quarter of 2021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permanent differences between book and tax restricted stock expense based on a decrease in our stock price between the restricted stock grant and vesting dates. Our effective income tax rate differed from the 21% statutory rate for the first quarter of 2020 primarily due to a similar restricted stock impact, and a discrete benefit adjustment related to the remeasurement of certain deferred taxes following the enactment of the Coronavirus Aid, Relief, and Economic Security 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5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8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tables provide a reconciliation of Net income to Economic Earnings and Economic Earnings by segment (in thousands, except share and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6"/>
                <w:szCs w:val="16"/>
                <w:b w:val="1"/>
                <w:bCs w:val="1"/>
                <w:color w:val="auto"/>
                <w:w w:val="96"/>
              </w:rPr>
              <w:t>Three Months Ended March 31,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6"/>
        </w:trPr>
        <w:tc>
          <w:tcPr>
            <w:tcW w:w="62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0"/>
                <w:szCs w:val="20"/>
                <w:color w:val="auto"/>
              </w:rPr>
            </w:pPr>
          </w:p>
        </w:tc>
      </w:tr>
      <w:tr>
        <w:trPr>
          <w:trHeight w:val="226"/>
        </w:trPr>
        <w:tc>
          <w:tcPr>
            <w:tcW w:w="62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520"/>
              <w:spacing w:after="0"/>
              <w:rPr>
                <w:sz w:val="20"/>
                <w:szCs w:val="20"/>
                <w:color w:val="auto"/>
              </w:rPr>
            </w:pPr>
            <w:r>
              <w:rPr>
                <w:rFonts w:ascii="Arial" w:cs="Arial" w:eastAsia="Arial" w:hAnsi="Arial"/>
                <w:sz w:val="18"/>
                <w:szCs w:val="18"/>
                <w:color w:val="auto"/>
              </w:rPr>
              <w:t>Add: Stock-based compensation expense</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2,616</w:t>
            </w:r>
          </w:p>
        </w:tc>
        <w:tc>
          <w:tcPr>
            <w:tcW w:w="1480" w:type="dxa"/>
            <w:vAlign w:val="bottom"/>
            <w:gridSpan w:val="2"/>
          </w:tcPr>
          <w:p>
            <w:pPr>
              <w:jc w:val="right"/>
              <w:ind w:right="333"/>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r>
      <w:tr>
        <w:trPr>
          <w:trHeight w:val="230"/>
        </w:trPr>
        <w:tc>
          <w:tcPr>
            <w:tcW w:w="6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Add: Intangible amortization</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8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r>
      <w:tr>
        <w:trPr>
          <w:trHeight w:val="229"/>
        </w:trPr>
        <w:tc>
          <w:tcPr>
            <w:tcW w:w="62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Add: Tax benefit from goodwill amortization</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3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r>
      <w:tr>
        <w:trPr>
          <w:trHeight w:val="248"/>
        </w:trPr>
        <w:tc>
          <w:tcPr>
            <w:tcW w:w="6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Economic Earnings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480" w:type="dxa"/>
            <w:vAlign w:val="bottom"/>
            <w:tcBorders>
              <w:bottom w:val="single" w:sz="8" w:color="CCEEFF"/>
            </w:tcBorders>
            <w:gridSpan w:val="2"/>
            <w:shd w:val="clear" w:color="auto" w:fill="CCEEFF"/>
          </w:tcPr>
          <w:p>
            <w:pPr>
              <w:jc w:val="right"/>
              <w:ind w:right="373"/>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9"/>
        </w:trPr>
        <w:tc>
          <w:tcPr>
            <w:tcW w:w="6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 weighted average shares outstanding</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7,917,390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8,458,473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30"/>
        </w:trPr>
        <w:tc>
          <w:tcPr>
            <w:tcW w:w="6280" w:type="dxa"/>
            <w:vAlign w:val="bottom"/>
          </w:tcPr>
          <w:p>
            <w:pPr>
              <w:ind w:left="520"/>
              <w:spacing w:after="0"/>
              <w:rPr>
                <w:sz w:val="20"/>
                <w:szCs w:val="20"/>
                <w:color w:val="auto"/>
              </w:rPr>
            </w:pPr>
            <w:r>
              <w:rPr>
                <w:rFonts w:ascii="Arial" w:cs="Arial" w:eastAsia="Arial" w:hAnsi="Arial"/>
                <w:sz w:val="18"/>
                <w:szCs w:val="18"/>
                <w:b w:val="1"/>
                <w:bCs w:val="1"/>
                <w:color w:val="auto"/>
              </w:rPr>
              <w:t>Economic Earnings per share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70"/>
        </w:trPr>
        <w:tc>
          <w:tcPr>
            <w:tcW w:w="6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30"/>
        </w:trPr>
        <w:tc>
          <w:tcPr>
            <w:tcW w:w="6280" w:type="dxa"/>
            <w:vAlign w:val="bottom"/>
          </w:tcPr>
          <w:p>
            <w:pPr>
              <w:ind w:left="520"/>
              <w:spacing w:after="0"/>
              <w:rPr>
                <w:sz w:val="20"/>
                <w:szCs w:val="20"/>
                <w:color w:val="auto"/>
              </w:rPr>
            </w:pPr>
            <w:r>
              <w:rPr>
                <w:rFonts w:ascii="Arial" w:cs="Arial" w:eastAsia="Arial" w:hAnsi="Arial"/>
                <w:sz w:val="18"/>
                <w:szCs w:val="18"/>
                <w:b w:val="1"/>
                <w:bCs w:val="1"/>
                <w:color w:val="auto"/>
              </w:rPr>
              <w:t>Economic Earnings by Segment:</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Advisory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480" w:type="dxa"/>
            <w:vAlign w:val="bottom"/>
            <w:gridSpan w:val="2"/>
            <w:shd w:val="clear" w:color="auto" w:fill="CCEEFF"/>
          </w:tcPr>
          <w:p>
            <w:pPr>
              <w:jc w:val="right"/>
              <w:ind w:right="373"/>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520"/>
              <w:spacing w:after="0"/>
              <w:rPr>
                <w:sz w:val="20"/>
                <w:szCs w:val="20"/>
                <w:color w:val="auto"/>
              </w:rPr>
            </w:pPr>
            <w:r>
              <w:rPr>
                <w:rFonts w:ascii="Arial" w:cs="Arial" w:eastAsia="Arial" w:hAnsi="Arial"/>
                <w:sz w:val="18"/>
                <w:szCs w:val="18"/>
                <w:color w:val="auto"/>
              </w:rPr>
              <w:t>Trust</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992</w:t>
            </w:r>
          </w:p>
        </w:tc>
        <w:tc>
          <w:tcPr>
            <w:tcW w:w="1480" w:type="dxa"/>
            <w:vAlign w:val="bottom"/>
            <w:gridSpan w:val="2"/>
          </w:tcPr>
          <w:p>
            <w:pPr>
              <w:jc w:val="right"/>
              <w:ind w:right="373"/>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9"/>
                <w:szCs w:val="19"/>
                <w:color w:val="auto"/>
              </w:rPr>
            </w:pPr>
          </w:p>
        </w:tc>
      </w:tr>
      <w:tr>
        <w:trPr>
          <w:trHeight w:val="230"/>
        </w:trPr>
        <w:tc>
          <w:tcPr>
            <w:tcW w:w="6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Westwood Holdings</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480" w:type="dxa"/>
            <w:vAlign w:val="bottom"/>
            <w:gridSpan w:val="2"/>
            <w:shd w:val="clear" w:color="auto" w:fill="CCEEFF"/>
          </w:tcPr>
          <w:p>
            <w:pPr>
              <w:jc w:val="right"/>
              <w:ind w:right="373"/>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9"/>
                <w:szCs w:val="19"/>
                <w:color w:val="auto"/>
              </w:rPr>
            </w:pPr>
          </w:p>
        </w:tc>
      </w:tr>
      <w:tr>
        <w:trPr>
          <w:trHeight w:val="223"/>
        </w:trPr>
        <w:tc>
          <w:tcPr>
            <w:tcW w:w="6280" w:type="dxa"/>
            <w:vAlign w:val="bottom"/>
          </w:tcPr>
          <w:p>
            <w:pPr>
              <w:ind w:left="520"/>
              <w:spacing w:after="0"/>
              <w:rPr>
                <w:sz w:val="20"/>
                <w:szCs w:val="20"/>
                <w:color w:val="auto"/>
              </w:rPr>
            </w:pPr>
            <w:r>
              <w:rPr>
                <w:rFonts w:ascii="Arial" w:cs="Arial" w:eastAsia="Arial" w:hAnsi="Arial"/>
                <w:sz w:val="18"/>
                <w:szCs w:val="18"/>
                <w:b w:val="1"/>
                <w:bCs w:val="1"/>
                <w:color w:val="auto"/>
              </w:rPr>
              <w:t>Consolidated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1480" w:type="dxa"/>
            <w:vAlign w:val="bottom"/>
            <w:gridSpan w:val="2"/>
          </w:tcPr>
          <w:p>
            <w:pPr>
              <w:jc w:val="right"/>
              <w:ind w:right="373"/>
              <w:spacing w:after="0"/>
              <w:rPr>
                <w:sz w:val="20"/>
                <w:szCs w:val="20"/>
                <w:color w:val="auto"/>
              </w:rPr>
            </w:pPr>
            <w:r>
              <w:rPr>
                <w:rFonts w:ascii="Arial" w:cs="Arial" w:eastAsia="Arial" w:hAnsi="Arial"/>
                <w:sz w:val="18"/>
                <w:szCs w:val="18"/>
                <w:color w:val="auto"/>
              </w:rPr>
              <w:t>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fund our operations and cash requirements with cash generated from operating activities. We may also use cash from operations to pay dividends to our stockholders. We reinstated our dividend in the first quarter of 2021, following a suspension in the second quarter of 2020 as we preserved capital and provided additional financial flexibility amid the uncertainties created by COVID-19. As of March 31, 2021 and December 31, 2020, we had no debt. The changes in net cash provided by operating activities generally reflect changes in earnings plus the effects of non-cash items and changes in working capital, including liquidation of investments used to cover current liabilities. Changes in working capital, especially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2" w:name="page23"/>
    <w:bookmarkEnd w:id="22"/>
    <w:p>
      <w:pPr>
        <w:ind w:right="680"/>
        <w:spacing w:after="0" w:line="277" w:lineRule="auto"/>
        <w:rPr>
          <w:sz w:val="20"/>
          <w:szCs w:val="20"/>
          <w:color w:val="auto"/>
        </w:rPr>
      </w:pPr>
      <w:r>
        <w:rPr>
          <w:rFonts w:ascii="Arial" w:cs="Arial" w:eastAsia="Arial" w:hAnsi="Arial"/>
          <w:sz w:val="18"/>
          <w:szCs w:val="18"/>
          <w:color w:val="auto"/>
        </w:rPr>
        <w:t>accounts receivable and accounts payable, are generally the result of timing differences between collection of fees billed and payment of operating expenses.</w:t>
      </w:r>
    </w:p>
    <w:p>
      <w:pPr>
        <w:spacing w:after="0" w:line="6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three months ended March 31, 2021, cash flow used in operating activities was $7.0 million, which included net purchases of $4.4 million of current investments, a reduction in compensation and benefits payable of $5.0 million, and a $2.3 million change in accounts receivable, partially offset by income taxes payable and positive adjustments to net income. During the three months ended March 31, 2020, cash flow provided by operating activities was $11.5 million, which included a $12.9 million net liquidation of investments partially offset by an $7.4 million decrease in compensation and benefits payables.</w:t>
      </w:r>
    </w:p>
    <w:p>
      <w:pPr>
        <w:spacing w:after="0" w:line="80"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Cash flow provided by investing activities during the three months ended March 31, 2021 was related to realized gains on private investments and the sale of property and equipment following the sublease of a portion of our Dallas, Texas corporate office space. Cash flow used in investing activities during the three months ended March 31, 2020 was related to purchases of property and equipment.</w:t>
      </w:r>
    </w:p>
    <w:p>
      <w:pPr>
        <w:spacing w:after="0" w:line="7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Cash flows used in financing activities of $2.7 million for the three months ended March 31, 2021 reflected treasury stock repurchases, the payment of dividends and restricted stock returned for the payment of taxes. Cash flow used in financing activities of $13.1 million for the three months ended March 31, 2020 reflected the payment of dividends, purchases of treasury shares, restricted stock returned for payment of taxes and purchases of treasury stock under employee stock plans.</w:t>
      </w:r>
    </w:p>
    <w:p>
      <w:pPr>
        <w:spacing w:after="0" w:line="79" w:lineRule="exact"/>
        <w:rPr>
          <w:sz w:val="20"/>
          <w:szCs w:val="20"/>
          <w:color w:val="auto"/>
        </w:rPr>
      </w:pPr>
    </w:p>
    <w:p>
      <w:pPr>
        <w:jc w:val="both"/>
        <w:ind w:right="120" w:firstLine="486"/>
        <w:spacing w:after="0" w:line="277" w:lineRule="auto"/>
        <w:rPr>
          <w:sz w:val="20"/>
          <w:szCs w:val="20"/>
          <w:color w:val="auto"/>
        </w:rPr>
      </w:pPr>
      <w:r>
        <w:rPr>
          <w:rFonts w:ascii="Arial" w:cs="Arial" w:eastAsia="Arial" w:hAnsi="Arial"/>
          <w:sz w:val="18"/>
          <w:szCs w:val="18"/>
          <w:color w:val="auto"/>
        </w:rPr>
        <w:t>We had cash and short-term investments of $86.9 million as of March 31, 2021 and $82.6 million as of December 31, 2020. At March 31, 2021 and December 31, 2020, working capital aggregated $91.3 million and $84.5 million, respectively.</w:t>
      </w:r>
    </w:p>
    <w:p>
      <w:pPr>
        <w:spacing w:after="0" w:line="62"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March 31, 2021, Westwood Trust had approximately $13.7 million in excess of its minimum capital requirement.</w:t>
      </w:r>
    </w:p>
    <w:p>
      <w:pPr>
        <w:spacing w:after="0" w:line="7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2020,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As of March 31, 2021, there have been no material changes outside of the ordinary course of business to our contractual obligations since December 31, 2020. For information regarding our contractual obligations, refer to “Contractual Obligations” in Part II, Item 7. “Management's Discussion and Analysis of Financial Condition and Results of Operations” in our Annual Report on Form 10-K for the fiscal year ended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There have been no significant changes in our critical or significant accounting policies and estimates since December 31, 2020.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3" w:name="page24"/>
    <w:bookmarkEnd w:id="23"/>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2020.</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During the quarter ended March 31, 2021,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workforce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2020 and the risks set forth below.</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there has been no material change in its risk factors as previously disclosed in the Form 10-K.</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On July 20, 2012, our Board of Directors authorized management to repurchase up to $10.0 million of our outstanding common stock on the open market or in privately negotiated transactions. Westwood's Board of Directors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March 31, 2021: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260" w:type="dxa"/>
            <w:vAlign w:val="bottom"/>
            <w:gridSpan w:val="2"/>
            <w:vMerge w:val="restart"/>
          </w:tcPr>
          <w:p>
            <w:pPr>
              <w:jc w:val="center"/>
              <w:ind w:left="297"/>
              <w:spacing w:after="0"/>
              <w:rPr>
                <w:sz w:val="20"/>
                <w:szCs w:val="20"/>
                <w:color w:val="auto"/>
              </w:rPr>
            </w:pPr>
            <w:r>
              <w:rPr>
                <w:rFonts w:ascii="Arial" w:cs="Arial" w:eastAsia="Arial" w:hAnsi="Arial"/>
                <w:sz w:val="16"/>
                <w:szCs w:val="16"/>
                <w:b w:val="1"/>
                <w:bCs w:val="1"/>
                <w:color w:val="auto"/>
                <w:w w:val="94"/>
              </w:rPr>
              <w:t>Total</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 number</w:t>
            </w:r>
          </w:p>
        </w:tc>
        <w:tc>
          <w:tcPr>
            <w:tcW w:w="600" w:type="dxa"/>
            <w:vAlign w:val="bottom"/>
          </w:tcPr>
          <w:p>
            <w:pPr>
              <w:spacing w:after="0"/>
              <w:rPr>
                <w:sz w:val="16"/>
                <w:szCs w:val="16"/>
                <w:color w:val="auto"/>
              </w:rPr>
            </w:pPr>
          </w:p>
        </w:tc>
        <w:tc>
          <w:tcPr>
            <w:tcW w:w="2060" w:type="dxa"/>
            <w:vAlign w:val="bottom"/>
          </w:tcPr>
          <w:p>
            <w:pPr>
              <w:jc w:val="right"/>
              <w:ind w:right="216"/>
              <w:spacing w:after="0"/>
              <w:rPr>
                <w:sz w:val="20"/>
                <w:szCs w:val="20"/>
                <w:color w:val="auto"/>
              </w:rPr>
            </w:pPr>
            <w:r>
              <w:rPr>
                <w:rFonts w:ascii="Arial" w:cs="Arial" w:eastAsia="Arial" w:hAnsi="Arial"/>
                <w:sz w:val="16"/>
                <w:szCs w:val="16"/>
                <w:b w:val="1"/>
                <w:bCs w:val="1"/>
                <w:color w:val="auto"/>
              </w:rPr>
              <w:t>Maximum number (or</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Average</w:t>
            </w: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of shares purchased</w:t>
            </w:r>
          </w:p>
        </w:tc>
        <w:tc>
          <w:tcPr>
            <w:tcW w:w="26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approximate dollar value)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2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number of</w:t>
            </w:r>
          </w:p>
        </w:tc>
        <w:tc>
          <w:tcPr>
            <w:tcW w:w="6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26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of shares that may yet be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2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5"/>
              </w:rPr>
              <w:t>shares</w:t>
            </w:r>
          </w:p>
        </w:tc>
        <w:tc>
          <w:tcPr>
            <w:tcW w:w="1740" w:type="dxa"/>
            <w:vAlign w:val="bottom"/>
            <w:gridSpan w:val="3"/>
          </w:tcPr>
          <w:p>
            <w:pPr>
              <w:ind w:left="460"/>
              <w:spacing w:after="0" w:line="162" w:lineRule="exact"/>
              <w:rPr>
                <w:sz w:val="20"/>
                <w:szCs w:val="20"/>
                <w:color w:val="auto"/>
              </w:rPr>
            </w:pPr>
            <w:r>
              <w:rPr>
                <w:rFonts w:ascii="Arial" w:cs="Arial" w:eastAsia="Arial" w:hAnsi="Arial"/>
                <w:sz w:val="16"/>
                <w:szCs w:val="16"/>
                <w:b w:val="1"/>
                <w:bCs w:val="1"/>
                <w:color w:val="auto"/>
              </w:rPr>
              <w:t>price paid</w:t>
            </w: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600" w:type="dxa"/>
            <w:vAlign w:val="bottom"/>
          </w:tcPr>
          <w:p>
            <w:pPr>
              <w:spacing w:after="0"/>
              <w:rPr>
                <w:sz w:val="14"/>
                <w:szCs w:val="14"/>
                <w:color w:val="auto"/>
              </w:rPr>
            </w:pPr>
          </w:p>
        </w:tc>
        <w:tc>
          <w:tcPr>
            <w:tcW w:w="2060" w:type="dxa"/>
            <w:vAlign w:val="bottom"/>
          </w:tcPr>
          <w:p>
            <w:pPr>
              <w:jc w:val="center"/>
              <w:ind w:right="516"/>
              <w:spacing w:after="0" w:line="162" w:lineRule="exact"/>
              <w:rPr>
                <w:sz w:val="20"/>
                <w:szCs w:val="20"/>
                <w:color w:val="auto"/>
              </w:rPr>
            </w:pPr>
            <w:r>
              <w:rPr>
                <w:rFonts w:ascii="Arial" w:cs="Arial" w:eastAsia="Arial" w:hAnsi="Arial"/>
                <w:sz w:val="16"/>
                <w:szCs w:val="16"/>
                <w:b w:val="1"/>
                <w:bCs w:val="1"/>
                <w:color w:val="auto"/>
                <w:w w:val="89"/>
              </w:rPr>
              <w:t>purchased under the</w:t>
            </w: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w:t>
            </w:r>
          </w:p>
        </w:tc>
        <w:tc>
          <w:tcPr>
            <w:tcW w:w="1740" w:type="dxa"/>
            <w:vAlign w:val="bottom"/>
            <w:gridSpan w:val="3"/>
          </w:tcPr>
          <w:p>
            <w:pPr>
              <w:ind w:left="500"/>
              <w:spacing w:after="0"/>
              <w:rPr>
                <w:sz w:val="20"/>
                <w:szCs w:val="20"/>
                <w:color w:val="auto"/>
              </w:rPr>
            </w:pPr>
            <w:r>
              <w:rPr>
                <w:rFonts w:ascii="Arial" w:cs="Arial" w:eastAsia="Arial" w:hAnsi="Arial"/>
                <w:sz w:val="16"/>
                <w:szCs w:val="16"/>
                <w:b w:val="1"/>
                <w:bCs w:val="1"/>
                <w:color w:val="auto"/>
              </w:rPr>
              <w:t>per share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programs</w:t>
            </w:r>
          </w:p>
        </w:tc>
        <w:tc>
          <w:tcPr>
            <w:tcW w:w="2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plans or programs (1)</w:t>
            </w:r>
          </w:p>
        </w:tc>
        <w:tc>
          <w:tcPr>
            <w:tcW w:w="0" w:type="dxa"/>
            <w:vAlign w:val="bottom"/>
          </w:tcPr>
          <w:p>
            <w:pPr>
              <w:spacing w:after="0"/>
              <w:rPr>
                <w:sz w:val="1"/>
                <w:szCs w:val="1"/>
                <w:color w:val="auto"/>
              </w:rPr>
            </w:pPr>
          </w:p>
        </w:tc>
      </w:tr>
      <w:tr>
        <w:trPr>
          <w:trHeight w:val="226"/>
        </w:trPr>
        <w:tc>
          <w:tcPr>
            <w:tcW w:w="3960" w:type="dxa"/>
            <w:vAlign w:val="bottom"/>
            <w:tcBorders>
              <w:top w:val="single" w:sz="8" w:color="CCEEFF"/>
            </w:tcBorders>
            <w:shd w:val="clear" w:color="auto" w:fill="CCEEFF"/>
          </w:tcPr>
          <w:p>
            <w:pPr>
              <w:ind w:left="520"/>
              <w:spacing w:after="0" w:line="225"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3"/>
                <w:szCs w:val="23"/>
                <w:color w:val="auto"/>
                <w:vertAlign w:val="superscript"/>
              </w:rPr>
              <w:t>(1)</w:t>
            </w: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30"/>
        </w:trPr>
        <w:tc>
          <w:tcPr>
            <w:tcW w:w="3960" w:type="dxa"/>
            <w:vAlign w:val="bottom"/>
          </w:tcPr>
          <w:p>
            <w:pPr>
              <w:ind w:left="840"/>
              <w:spacing w:after="0"/>
              <w:rPr>
                <w:sz w:val="20"/>
                <w:szCs w:val="20"/>
                <w:color w:val="auto"/>
              </w:rPr>
            </w:pPr>
            <w:r>
              <w:rPr>
                <w:rFonts w:ascii="Arial" w:cs="Arial" w:eastAsia="Arial" w:hAnsi="Arial"/>
                <w:sz w:val="18"/>
                <w:szCs w:val="18"/>
                <w:color w:val="auto"/>
              </w:rPr>
              <w:t>March 2021</w:t>
            </w:r>
          </w:p>
        </w:tc>
        <w:tc>
          <w:tcPr>
            <w:tcW w:w="1160" w:type="dxa"/>
            <w:vAlign w:val="bottom"/>
          </w:tcPr>
          <w:p>
            <w:pPr>
              <w:jc w:val="right"/>
              <w:spacing w:after="0"/>
              <w:rPr>
                <w:sz w:val="20"/>
                <w:szCs w:val="20"/>
                <w:color w:val="auto"/>
              </w:rPr>
            </w:pPr>
            <w:r>
              <w:rPr>
                <w:rFonts w:ascii="Arial" w:cs="Arial" w:eastAsia="Arial" w:hAnsi="Arial"/>
                <w:sz w:val="18"/>
                <w:szCs w:val="18"/>
                <w:color w:val="auto"/>
              </w:rPr>
              <w:t>92,491</w:t>
            </w:r>
          </w:p>
        </w:tc>
        <w:tc>
          <w:tcPr>
            <w:tcW w:w="100" w:type="dxa"/>
            <w:vAlign w:val="bottom"/>
          </w:tcPr>
          <w:p>
            <w:pPr>
              <w:spacing w:after="0"/>
              <w:rPr>
                <w:sz w:val="20"/>
                <w:szCs w:val="20"/>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92,491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900" w:hanging="892"/>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These purchases relate to the share repurchase program and were authorized in April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ind w:left="100"/>
        <w:spacing w:after="0"/>
        <w:tabs>
          <w:tab w:leader="none" w:pos="920" w:val="left"/>
        </w:tabs>
        <w:rPr>
          <w:sz w:val="20"/>
          <w:szCs w:val="20"/>
          <w:color w:val="auto"/>
        </w:rPr>
      </w:pPr>
      <w:r>
        <w:rPr>
          <w:rFonts w:ascii="Arial" w:cs="Arial" w:eastAsia="Arial" w:hAnsi="Arial"/>
          <w:sz w:val="18"/>
          <w:szCs w:val="18"/>
          <w:b w:val="1"/>
          <w:bCs w:val="1"/>
          <w:color w:val="auto"/>
        </w:rPr>
        <w:t>ITEM 6.</w:t>
        <w:tab/>
        <w:t>EXHIBITS</w:t>
      </w:r>
    </w:p>
    <w:p>
      <w:pPr>
        <w:spacing w:after="0" w:line="270" w:lineRule="exact"/>
        <w:rPr>
          <w:sz w:val="20"/>
          <w:szCs w:val="20"/>
          <w:color w:val="auto"/>
        </w:rPr>
      </w:pPr>
    </w:p>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fication of Chief Executive Officer Pursuant to Securities Exchange Act Rule 13a-14(a)</w:t>
        </w:r>
      </w:hyperlink>
    </w:p>
    <w:p>
      <w:pPr>
        <w:spacing w:after="0" w:line="239" w:lineRule="exact"/>
        <w:rPr>
          <w:sz w:val="20"/>
          <w:szCs w:val="20"/>
          <w:color w:val="auto"/>
        </w:rPr>
      </w:pPr>
    </w:p>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fication of Chief Financial Officer Pursuant to Securities Exchange Act Rule 13a-14(a)</w:t>
        </w:r>
      </w:hyperlink>
    </w:p>
    <w:p>
      <w:pPr>
        <w:spacing w:after="0" w:line="239" w:lineRule="exact"/>
        <w:rPr>
          <w:sz w:val="20"/>
          <w:szCs w:val="20"/>
          <w:color w:val="auto"/>
        </w:rPr>
      </w:pPr>
    </w:p>
    <w:p>
      <w:pPr>
        <w:ind w:left="1340" w:right="799" w:hanging="1340"/>
        <w:spacing w:after="0" w:line="235" w:lineRule="auto"/>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fication of Chief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30">
        <w:r>
          <w:rPr>
            <w:rFonts w:ascii="Arial" w:cs="Arial" w:eastAsia="Arial" w:hAnsi="Arial"/>
            <w:sz w:val="18"/>
            <w:szCs w:val="18"/>
            <w:u w:val="single" w:color="auto"/>
            <w:color w:val="0000FF"/>
          </w:rPr>
          <w:t>Act of 2002</w:t>
        </w:r>
      </w:hyperlink>
    </w:p>
    <w:p>
      <w:pPr>
        <w:spacing w:after="0" w:line="216" w:lineRule="exact"/>
        <w:rPr>
          <w:sz w:val="20"/>
          <w:szCs w:val="20"/>
          <w:color w:val="auto"/>
        </w:rPr>
      </w:pPr>
    </w:p>
    <w:p>
      <w:pPr>
        <w:ind w:left="1340" w:right="859" w:hanging="1340"/>
        <w:spacing w:after="0" w:line="235" w:lineRule="auto"/>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fication of Chief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Act of 2002</w:t>
        </w:r>
      </w:hyperlink>
    </w:p>
    <w:p>
      <w:pPr>
        <w:spacing w:after="0" w:line="216" w:lineRule="exact"/>
        <w:rPr>
          <w:sz w:val="20"/>
          <w:szCs w:val="20"/>
          <w:color w:val="auto"/>
        </w:rPr>
      </w:pPr>
    </w:p>
    <w:p>
      <w:pPr>
        <w:ind w:left="1340" w:right="639" w:hanging="1315"/>
        <w:spacing w:after="0" w:line="241" w:lineRule="auto"/>
        <w:rPr>
          <w:sz w:val="20"/>
          <w:szCs w:val="20"/>
          <w:color w:val="auto"/>
        </w:rPr>
      </w:pPr>
      <w:r>
        <w:rPr>
          <w:rFonts w:ascii="Arial" w:cs="Arial" w:eastAsia="Arial" w:hAnsi="Arial"/>
          <w:sz w:val="16"/>
          <w:szCs w:val="16"/>
          <w:color w:val="auto"/>
        </w:rPr>
        <w:t>ollowing financial information from Westwood Holdings Group, Inc.'s Quarterly Report on Form 10-Q for the period ended March 31, 2021, formatted in Inline eXtensible Business Reporting Language (iXBRL): (i) Condensed Consolidated Balance Sheets as of March 31, 2021 and December 31, 2020; (ii) Condensed Consolidated Statements of Comprehensive Income (Loss) for the three months ended March 31, 2021 and 2020; (iii) Condensed Consolidated Statements of Stockholders' Equity; (iv) Condensed Consolidated Statements of Cash Flows for the three months ended March 31, 2021 and 2020; and (v) Notes to the Condensed Consolidated Financial Statements.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 Page Interactive Data File (formatted as iXBRL and contained in Exhibit 101)</w:t>
      </w:r>
    </w:p>
    <w:p>
      <w:pPr>
        <w:spacing w:after="0" w:line="32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39"/>
          </w:cols>
          <w:pgMar w:left="220" w:top="1093" w:right="1440" w:bottom="1440" w:gutter="0" w:footer="0" w:header="0"/>
        </w:sectPr>
      </w:pPr>
    </w:p>
    <w:bookmarkStart w:id="26" w:name="page27"/>
    <w:bookmarkEnd w:id="26"/>
    <w:p>
      <w:pPr>
        <w:jc w:val="center"/>
        <w:ind w:right="-4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86"/>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Dated:   April 28, 2021</w:t>
            </w:r>
          </w:p>
        </w:tc>
        <w:tc>
          <w:tcPr>
            <w:tcW w:w="6040" w:type="dxa"/>
            <w:vAlign w:val="bottom"/>
            <w:gridSpan w:val="2"/>
          </w:tcPr>
          <w:p>
            <w:pPr>
              <w:ind w:left="1600"/>
              <w:spacing w:after="0"/>
              <w:rPr>
                <w:sz w:val="20"/>
                <w:szCs w:val="20"/>
                <w:color w:val="auto"/>
              </w:rPr>
            </w:pPr>
            <w:r>
              <w:rPr>
                <w:rFonts w:ascii="Arial" w:cs="Arial" w:eastAsia="Arial" w:hAnsi="Arial"/>
                <w:sz w:val="18"/>
                <w:szCs w:val="18"/>
                <w:color w:val="auto"/>
              </w:rPr>
              <w:t>WESTWOOD HOLDINGS GROUP, INC.</w:t>
            </w:r>
          </w:p>
        </w:tc>
      </w:tr>
      <w:tr>
        <w:trPr>
          <w:trHeight w:val="486"/>
        </w:trPr>
        <w:tc>
          <w:tcPr>
            <w:tcW w:w="3360" w:type="dxa"/>
            <w:vAlign w:val="bottom"/>
          </w:tcPr>
          <w:p>
            <w:pPr>
              <w:spacing w:after="0"/>
              <w:rPr>
                <w:sz w:val="24"/>
                <w:szCs w:val="24"/>
                <w:color w:val="auto"/>
              </w:rPr>
            </w:pPr>
          </w:p>
        </w:tc>
        <w:tc>
          <w:tcPr>
            <w:tcW w:w="2220" w:type="dxa"/>
            <w:vAlign w:val="bottom"/>
          </w:tcPr>
          <w:p>
            <w:pPr>
              <w:ind w:left="16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22"/>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30"/>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45"/>
        </w:trPr>
        <w:tc>
          <w:tcPr>
            <w:tcW w:w="3360" w:type="dxa"/>
            <w:vAlign w:val="bottom"/>
          </w:tcPr>
          <w:p>
            <w:pPr>
              <w:spacing w:after="0"/>
              <w:rPr>
                <w:sz w:val="24"/>
                <w:szCs w:val="24"/>
                <w:color w:val="auto"/>
              </w:rPr>
            </w:pPr>
          </w:p>
        </w:tc>
        <w:tc>
          <w:tcPr>
            <w:tcW w:w="2220" w:type="dxa"/>
            <w:vAlign w:val="bottom"/>
          </w:tcPr>
          <w:p>
            <w:pPr>
              <w:ind w:left="16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Murray Forbes III</w:t>
            </w:r>
          </w:p>
        </w:tc>
      </w:tr>
      <w:tr>
        <w:trPr>
          <w:trHeight w:val="222"/>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Murray Forbes III</w:t>
            </w:r>
          </w:p>
        </w:tc>
      </w:tr>
      <w:tr>
        <w:trPr>
          <w:trHeight w:val="230"/>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60"/>
          </w:cols>
          <w:pgMar w:left="320" w:top="1097" w:right="819" w:bottom="1440" w:gutter="0" w:footer="0" w:header="0"/>
        </w:sectPr>
      </w:pPr>
    </w:p>
    <w:bookmarkStart w:id="27" w:name="page28"/>
    <w:bookmarkEnd w:id="27"/>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13"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660" w:right="200" w:hanging="328"/>
        <w:spacing w:after="0" w:line="26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6"/>
          <w:szCs w:val="16"/>
          <w:color w:val="auto"/>
        </w:rPr>
      </w:pPr>
    </w:p>
    <w:p>
      <w:pPr>
        <w:ind w:left="1300" w:right="300" w:hanging="320"/>
        <w:spacing w:after="0" w:line="261"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300" w:right="100" w:hanging="320"/>
        <w:spacing w:after="0" w:line="261"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300" w:right="160" w:hanging="320"/>
        <w:spacing w:after="0" w:line="275"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left="660" w:right="120" w:hanging="328"/>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300" w:right="140" w:hanging="320"/>
        <w:spacing w:after="0" w:line="275" w:lineRule="auto"/>
        <w:tabs>
          <w:tab w:leader="none" w:pos="1241"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300" w:right="340" w:hanging="320"/>
        <w:spacing w:after="0" w:line="275" w:lineRule="auto"/>
        <w:tabs>
          <w:tab w:leader="none" w:pos="12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April 28, 2021</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429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440" w:right="339" w:bottom="1440" w:gutter="0" w:footer="0" w:header="0"/>
        </w:sectPr>
      </w:pPr>
    </w:p>
    <w:bookmarkStart w:id="28" w:name="page29"/>
    <w:bookmarkEnd w:id="28"/>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13"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660" w:right="200" w:hanging="328"/>
        <w:spacing w:after="0" w:line="26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6"/>
          <w:szCs w:val="16"/>
          <w:color w:val="auto"/>
        </w:rPr>
      </w:pPr>
    </w:p>
    <w:p>
      <w:pPr>
        <w:ind w:left="1300" w:right="300" w:hanging="320"/>
        <w:spacing w:after="0" w:line="261" w:lineRule="auto"/>
        <w:tabs>
          <w:tab w:leader="none" w:pos="1291"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300" w:right="100" w:hanging="320"/>
        <w:spacing w:after="0" w:line="26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300" w:right="160" w:hanging="320"/>
        <w:spacing w:after="0" w:line="275" w:lineRule="auto"/>
        <w:tabs>
          <w:tab w:leader="none" w:pos="129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left="660" w:right="180" w:hanging="328"/>
        <w:spacing w:after="0" w:line="275" w:lineRule="auto"/>
        <w:tabs>
          <w:tab w:leader="none" w:pos="6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300" w:right="140" w:hanging="320"/>
        <w:spacing w:after="0" w:line="275" w:lineRule="auto"/>
        <w:tabs>
          <w:tab w:leader="none" w:pos="124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300" w:right="340" w:hanging="320"/>
        <w:spacing w:after="0" w:line="275" w:lineRule="auto"/>
        <w:tabs>
          <w:tab w:leader="none" w:pos="12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April 28, 2021</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429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March 31, 2021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13" w:lineRule="exact"/>
        <w:rPr>
          <w:rFonts w:ascii="Arial" w:cs="Arial" w:eastAsia="Arial" w:hAnsi="Arial"/>
          <w:sz w:val="16"/>
          <w:szCs w:val="16"/>
          <w:color w:val="auto"/>
        </w:rPr>
      </w:pPr>
    </w:p>
    <w:p>
      <w:pPr>
        <w:ind w:left="60" w:right="1120" w:firstLine="434"/>
        <w:spacing w:after="0" w:line="328" w:lineRule="auto"/>
        <w:tabs>
          <w:tab w:leader="none" w:pos="7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April 28, 2021</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0429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&amp; Chief Executive Officer</w:t>
      </w:r>
    </w:p>
    <w:p>
      <w:pPr>
        <w:spacing w:after="0" w:line="329"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2" w:right="339" w:bottom="1440" w:gutter="0" w:footer="0" w:header="0"/>
        </w:sectPr>
      </w:pPr>
    </w:p>
    <w:bookmarkStart w:id="30" w:name="page31"/>
    <w:bookmarkEnd w:id="30"/>
    <w:p>
      <w:pPr>
        <w:ind w:left="10400"/>
        <w:spacing w:after="0"/>
        <w:rPr>
          <w:sz w:val="20"/>
          <w:szCs w:val="20"/>
          <w:color w:val="auto"/>
        </w:rPr>
      </w:pPr>
      <w:r>
        <w:rPr>
          <w:rFonts w:ascii="Arial" w:cs="Arial" w:eastAsia="Arial" w:hAnsi="Arial"/>
          <w:sz w:val="15"/>
          <w:szCs w:val="15"/>
          <w:b w:val="1"/>
          <w:bCs w:val="1"/>
          <w:color w:val="auto"/>
        </w:rPr>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March 31, 2021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113" w:lineRule="exact"/>
        <w:rPr>
          <w:rFonts w:ascii="Arial" w:cs="Arial" w:eastAsia="Arial" w:hAnsi="Arial"/>
          <w:sz w:val="16"/>
          <w:szCs w:val="16"/>
          <w:color w:val="auto"/>
        </w:rPr>
      </w:pPr>
    </w:p>
    <w:p>
      <w:pPr>
        <w:ind w:left="60" w:right="1120" w:firstLine="434"/>
        <w:spacing w:after="0" w:line="328" w:lineRule="auto"/>
        <w:tabs>
          <w:tab w:leader="none" w:pos="71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April 28, 2021</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042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Financial Officer and Treasurer</w:t>
      </w:r>
    </w:p>
    <w:p>
      <w:pPr>
        <w:spacing w:after="0" w:line="329"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2021-04-28T16:51:56Z</dcterms:created>
  <dcterms:modified xsi:type="dcterms:W3CDTF">2021-04-28T16:51:56Z</dcterms:modified>
</cp:coreProperties>
</file>