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4"/>
          <w:szCs w:val="14"/>
          <w:b w:val="1"/>
          <w:bCs w:val="1"/>
          <w:color w:val="auto"/>
        </w:rPr>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8-K/A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(Amendment No. 1)</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Report (Date of earliest event reported): November 18 , 2022</w:t>
      </w:r>
    </w:p>
    <w:p>
      <w:pPr>
        <w:spacing w:after="0" w:line="19" w:lineRule="exact"/>
        <w:rPr>
          <w:sz w:val="24"/>
          <w:szCs w:val="24"/>
          <w:color w:val="auto"/>
        </w:rPr>
      </w:pPr>
    </w:p>
    <w:p>
      <w:pPr>
        <w:ind w:left="2040"/>
        <w:spacing w:after="0"/>
        <w:rPr>
          <w:sz w:val="20"/>
          <w:szCs w:val="20"/>
          <w:color w:val="auto"/>
        </w:rPr>
      </w:pPr>
      <w:r>
        <w:rPr>
          <w:rFonts w:ascii="Arial" w:cs="Arial" w:eastAsia="Arial" w:hAnsi="Arial"/>
          <w:sz w:val="12"/>
          <w:szCs w:val="12"/>
          <w:color w:val="auto"/>
        </w:rPr>
        <w:t>______________________________________________________________________________________________________</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WESTWOOD HOLDINGS GROUP,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charter)</w:t>
      </w:r>
    </w:p>
    <w:p>
      <w:pPr>
        <w:spacing w:after="0" w:line="9" w:lineRule="exact"/>
        <w:rPr>
          <w:sz w:val="24"/>
          <w:szCs w:val="24"/>
          <w:color w:val="auto"/>
        </w:rPr>
      </w:pPr>
    </w:p>
    <w:p>
      <w:pPr>
        <w:ind w:left="2040"/>
        <w:spacing w:after="0"/>
        <w:rPr>
          <w:sz w:val="20"/>
          <w:szCs w:val="20"/>
          <w:color w:val="auto"/>
        </w:rPr>
      </w:pPr>
      <w:r>
        <w:rPr>
          <w:rFonts w:ascii="Arial" w:cs="Arial" w:eastAsia="Arial" w:hAnsi="Arial"/>
          <w:sz w:val="12"/>
          <w:szCs w:val="12"/>
          <w:color w:val="auto"/>
        </w:rPr>
        <w:t>______________________________________________________________________________________________________</w:t>
      </w:r>
    </w:p>
    <w:p>
      <w:pPr>
        <w:sectPr>
          <w:pgSz w:w="11900" w:h="16838" w:orient="portrait"/>
          <w:cols w:equalWidth="0" w:num="1">
            <w:col w:w="11260"/>
          </w:cols>
          <w:pgMar w:left="300" w:top="814" w:right="339" w:bottom="1440" w:gutter="0" w:footer="0" w:header="0"/>
        </w:sectPr>
      </w:pPr>
    </w:p>
    <w:p>
      <w:pPr>
        <w:spacing w:after="0" w:line="244" w:lineRule="exact"/>
        <w:rPr>
          <w:sz w:val="24"/>
          <w:szCs w:val="24"/>
          <w:color w:val="auto"/>
        </w:rPr>
      </w:pPr>
    </w:p>
    <w:p>
      <w:pPr>
        <w:jc w:val="center"/>
        <w:ind w:right="440"/>
        <w:spacing w:after="0"/>
        <w:rPr>
          <w:sz w:val="20"/>
          <w:szCs w:val="20"/>
          <w:color w:val="auto"/>
        </w:rPr>
      </w:pPr>
      <w:r>
        <w:rPr>
          <w:rFonts w:ascii="Arial" w:cs="Arial" w:eastAsia="Arial" w:hAnsi="Arial"/>
          <w:sz w:val="14"/>
          <w:szCs w:val="14"/>
          <w:color w:val="auto"/>
        </w:rPr>
        <w:t>Delaware</w:t>
      </w:r>
    </w:p>
    <w:p>
      <w:pPr>
        <w:spacing w:after="0" w:line="19" w:lineRule="exact"/>
        <w:rPr>
          <w:sz w:val="24"/>
          <w:szCs w:val="24"/>
          <w:color w:val="auto"/>
        </w:rPr>
      </w:pPr>
    </w:p>
    <w:p>
      <w:pPr>
        <w:jc w:val="center"/>
        <w:ind w:right="440"/>
        <w:spacing w:after="0"/>
        <w:rPr>
          <w:sz w:val="20"/>
          <w:szCs w:val="20"/>
          <w:color w:val="auto"/>
        </w:rPr>
      </w:pPr>
      <w:r>
        <w:rPr>
          <w:rFonts w:ascii="Arial" w:cs="Arial" w:eastAsia="Arial" w:hAnsi="Arial"/>
          <w:sz w:val="12"/>
          <w:szCs w:val="12"/>
          <w:color w:val="auto"/>
        </w:rPr>
        <w:t>(State or other jurisdiction</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1320"/>
        <w:spacing w:after="0"/>
        <w:rPr>
          <w:sz w:val="20"/>
          <w:szCs w:val="20"/>
          <w:color w:val="auto"/>
        </w:rPr>
      </w:pPr>
      <w:r>
        <w:rPr>
          <w:rFonts w:ascii="Arial" w:cs="Arial" w:eastAsia="Arial" w:hAnsi="Arial"/>
          <w:sz w:val="14"/>
          <w:szCs w:val="14"/>
          <w:color w:val="auto"/>
        </w:rPr>
        <w:t>001-31234</w:t>
      </w:r>
    </w:p>
    <w:p>
      <w:pPr>
        <w:spacing w:after="0" w:line="19" w:lineRule="exact"/>
        <w:rPr>
          <w:sz w:val="24"/>
          <w:szCs w:val="24"/>
          <w:color w:val="auto"/>
        </w:rPr>
      </w:pPr>
    </w:p>
    <w:p>
      <w:pPr>
        <w:jc w:val="center"/>
        <w:ind w:right="132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880"/>
        <w:spacing w:after="0"/>
        <w:rPr>
          <w:sz w:val="20"/>
          <w:szCs w:val="20"/>
          <w:color w:val="auto"/>
        </w:rPr>
      </w:pPr>
      <w:r>
        <w:rPr>
          <w:rFonts w:ascii="Arial" w:cs="Arial" w:eastAsia="Arial" w:hAnsi="Arial"/>
          <w:sz w:val="14"/>
          <w:szCs w:val="14"/>
          <w:color w:val="auto"/>
        </w:rPr>
        <w:t>75-2969997</w:t>
      </w:r>
    </w:p>
    <w:p>
      <w:pPr>
        <w:spacing w:after="0" w:line="19" w:lineRule="exact"/>
        <w:rPr>
          <w:sz w:val="24"/>
          <w:szCs w:val="24"/>
          <w:color w:val="auto"/>
        </w:rPr>
      </w:pPr>
    </w:p>
    <w:p>
      <w:pPr>
        <w:jc w:val="center"/>
        <w:ind w:right="880"/>
        <w:spacing w:after="0"/>
        <w:rPr>
          <w:sz w:val="20"/>
          <w:szCs w:val="20"/>
          <w:color w:val="auto"/>
        </w:rPr>
      </w:pPr>
      <w:r>
        <w:rPr>
          <w:rFonts w:ascii="Arial" w:cs="Arial" w:eastAsia="Arial" w:hAnsi="Arial"/>
          <w:sz w:val="13"/>
          <w:szCs w:val="13"/>
          <w:color w:val="auto"/>
        </w:rPr>
        <w:t>(IRS Employer Identification No.)</w:t>
      </w:r>
    </w:p>
    <w:p>
      <w:pPr>
        <w:spacing w:after="0" w:line="31" w:lineRule="exact"/>
        <w:rPr>
          <w:sz w:val="24"/>
          <w:szCs w:val="24"/>
          <w:color w:val="auto"/>
        </w:rPr>
      </w:pPr>
    </w:p>
    <w:p>
      <w:pPr>
        <w:sectPr>
          <w:pgSz w:w="11900" w:h="16838" w:orient="portrait"/>
          <w:cols w:equalWidth="0" w:num="3">
            <w:col w:w="4120" w:space="720"/>
            <w:col w:w="2880" w:space="720"/>
            <w:col w:w="2820"/>
          </w:cols>
          <w:pgMar w:left="300" w:top="814" w:right="339" w:bottom="1440" w:gutter="0" w:footer="0" w:header="0"/>
          <w:type w:val="continuous"/>
        </w:sectPr>
      </w:pPr>
    </w:p>
    <w:p>
      <w:pPr>
        <w:ind w:left="1360"/>
        <w:spacing w:after="0"/>
        <w:rPr>
          <w:sz w:val="20"/>
          <w:szCs w:val="20"/>
          <w:color w:val="auto"/>
        </w:rPr>
      </w:pPr>
      <w:r>
        <w:rPr>
          <w:rFonts w:ascii="Arial" w:cs="Arial" w:eastAsia="Arial" w:hAnsi="Arial"/>
          <w:sz w:val="14"/>
          <w:szCs w:val="14"/>
          <w:color w:val="auto"/>
        </w:rPr>
        <w:t>of incorporation)</w:t>
      </w:r>
    </w:p>
    <w:p>
      <w:pPr>
        <w:spacing w:after="0" w:line="27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200 Crescent Court, Suite 1200</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Dallas, Texas 75201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of principal executive offices)</w:t>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(214) 756-6900</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2"/>
          <w:szCs w:val="12"/>
          <w:color w:val="auto"/>
        </w:rPr>
        <w:t>(Registrant's telephone number, including area code)</w:t>
      </w:r>
    </w:p>
    <w:p>
      <w:pPr>
        <w:sectPr>
          <w:pgSz w:w="11900" w:h="16838" w:orient="portrait"/>
          <w:cols w:equalWidth="0" w:num="1">
            <w:col w:w="11260"/>
          </w:cols>
          <w:pgMar w:left="300" w:top="814" w:right="339" w:bottom="1440" w:gutter="0" w:footer="0" w:header="0"/>
          <w:type w:val="continuous"/>
        </w:sectPr>
      </w:pPr>
    </w:p>
    <w:p>
      <w:pPr>
        <w:spacing w:after="0" w:line="223" w:lineRule="exact"/>
        <w:rPr>
          <w:sz w:val="24"/>
          <w:szCs w:val="24"/>
          <w:color w:val="auto"/>
        </w:rPr>
      </w:pPr>
    </w:p>
    <w:p>
      <w:pPr>
        <w:ind w:right="220" w:firstLine="141"/>
        <w:spacing w:after="0" w:line="297"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General Instruction A.2. below):</w:t>
      </w:r>
    </w:p>
    <w:p>
      <w:pPr>
        <w:spacing w:after="0" w:line="153" w:lineRule="exact"/>
        <w:rPr>
          <w:sz w:val="24"/>
          <w:szCs w:val="24"/>
          <w:color w:val="auto"/>
        </w:rPr>
      </w:pPr>
    </w:p>
    <w:p>
      <w:pPr>
        <w:ind w:left="360" w:hanging="214"/>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20" w:lineRule="exact"/>
        <w:rPr>
          <w:rFonts w:ascii="Arial" w:cs="Arial" w:eastAsia="Arial" w:hAnsi="Arial"/>
          <w:sz w:val="14"/>
          <w:szCs w:val="14"/>
          <w:color w:val="auto"/>
        </w:rPr>
      </w:pPr>
    </w:p>
    <w:p>
      <w:pPr>
        <w:ind w:left="360" w:hanging="214"/>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210" w:lineRule="exact"/>
        <w:rPr>
          <w:rFonts w:ascii="Arial" w:cs="Arial" w:eastAsia="Arial" w:hAnsi="Arial"/>
          <w:sz w:val="14"/>
          <w:szCs w:val="14"/>
          <w:color w:val="auto"/>
        </w:rPr>
      </w:pPr>
    </w:p>
    <w:p>
      <w:pPr>
        <w:ind w:left="360" w:hanging="214"/>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10" w:lineRule="exact"/>
        <w:rPr>
          <w:rFonts w:ascii="Arial" w:cs="Arial" w:eastAsia="Arial" w:hAnsi="Arial"/>
          <w:sz w:val="14"/>
          <w:szCs w:val="14"/>
          <w:color w:val="auto"/>
        </w:rPr>
      </w:pPr>
    </w:p>
    <w:p>
      <w:pPr>
        <w:ind w:left="360" w:hanging="214"/>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380" w:lineRule="exact"/>
        <w:rPr>
          <w:sz w:val="24"/>
          <w:szCs w:val="24"/>
          <w:color w:val="auto"/>
        </w:rPr>
      </w:pPr>
    </w:p>
    <w:tbl>
      <w:tblPr>
        <w:tblLayout w:type="fixed"/>
        <w:tblInd w:w="900" w:type="dxa"/>
        <w:tblCellMar>
          <w:top w:w="0" w:type="dxa"/>
          <w:left w:w="0" w:type="dxa"/>
          <w:bottom w:w="0" w:type="dxa"/>
          <w:right w:w="0" w:type="dxa"/>
        </w:tblCellMar>
      </w:tblPr>
      <w:tr>
        <w:trPr>
          <w:trHeight w:val="180"/>
        </w:trPr>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940" w:type="dxa"/>
            <w:vAlign w:val="bottom"/>
            <w:gridSpan w:val="3"/>
          </w:tcPr>
          <w:p>
            <w:pPr>
              <w:jc w:val="center"/>
              <w:ind w:left="9"/>
              <w:spacing w:after="0"/>
              <w:rPr>
                <w:sz w:val="20"/>
                <w:szCs w:val="20"/>
                <w:color w:val="auto"/>
              </w:rPr>
            </w:pPr>
            <w:r>
              <w:rPr>
                <w:rFonts w:ascii="Arial" w:cs="Arial" w:eastAsia="Arial" w:hAnsi="Arial"/>
                <w:sz w:val="14"/>
                <w:szCs w:val="14"/>
                <w:color w:val="auto"/>
                <w:w w:val="91"/>
              </w:rPr>
              <w:t>Securities registered pursuant to Section 12(b) of the Act:</w:t>
            </w:r>
          </w:p>
        </w:tc>
        <w:tc>
          <w:tcPr>
            <w:tcW w:w="300" w:type="dxa"/>
            <w:vAlign w:val="bottom"/>
          </w:tcPr>
          <w:p>
            <w:pPr>
              <w:spacing w:after="0"/>
              <w:rPr>
                <w:sz w:val="15"/>
                <w:szCs w:val="15"/>
                <w:color w:val="auto"/>
              </w:rPr>
            </w:pPr>
          </w:p>
        </w:tc>
        <w:tc>
          <w:tcPr>
            <w:tcW w:w="2640" w:type="dxa"/>
            <w:vAlign w:val="bottom"/>
          </w:tcPr>
          <w:p>
            <w:pPr>
              <w:spacing w:after="0"/>
              <w:rPr>
                <w:sz w:val="15"/>
                <w:szCs w:val="15"/>
                <w:color w:val="auto"/>
              </w:rPr>
            </w:pPr>
          </w:p>
        </w:tc>
      </w:tr>
      <w:tr>
        <w:trPr>
          <w:trHeight w:val="170"/>
        </w:trPr>
        <w:tc>
          <w:tcPr>
            <w:tcW w:w="6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Title of Each Class</w:t>
            </w: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80" w:type="dxa"/>
            <w:vAlign w:val="bottom"/>
            <w:gridSpan w:val="2"/>
          </w:tcPr>
          <w:p>
            <w:pPr>
              <w:jc w:val="center"/>
              <w:ind w:right="1420"/>
              <w:spacing w:after="0"/>
              <w:rPr>
                <w:sz w:val="20"/>
                <w:szCs w:val="20"/>
                <w:color w:val="auto"/>
              </w:rPr>
            </w:pPr>
            <w:r>
              <w:rPr>
                <w:rFonts w:ascii="Arial" w:cs="Arial" w:eastAsia="Arial" w:hAnsi="Arial"/>
                <w:sz w:val="14"/>
                <w:szCs w:val="14"/>
                <w:color w:val="auto"/>
                <w:w w:val="92"/>
              </w:rPr>
              <w:t>Trading Symbol(s)</w:t>
            </w:r>
          </w:p>
        </w:tc>
        <w:tc>
          <w:tcPr>
            <w:tcW w:w="2940" w:type="dxa"/>
            <w:vAlign w:val="bottom"/>
            <w:gridSpan w:val="2"/>
          </w:tcPr>
          <w:p>
            <w:pPr>
              <w:jc w:val="center"/>
              <w:ind w:left="229"/>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r>
      <w:tr>
        <w:trPr>
          <w:trHeight w:val="192"/>
        </w:trPr>
        <w:tc>
          <w:tcPr>
            <w:tcW w:w="2740" w:type="dxa"/>
            <w:vAlign w:val="bottom"/>
            <w:gridSpan w:val="3"/>
          </w:tcPr>
          <w:p>
            <w:pPr>
              <w:jc w:val="center"/>
              <w:ind w:right="380"/>
              <w:spacing w:after="0"/>
              <w:rPr>
                <w:sz w:val="20"/>
                <w:szCs w:val="20"/>
                <w:color w:val="auto"/>
              </w:rPr>
            </w:pPr>
            <w:r>
              <w:rPr>
                <w:rFonts w:ascii="Arial" w:cs="Arial" w:eastAsia="Arial" w:hAnsi="Arial"/>
                <w:sz w:val="14"/>
                <w:szCs w:val="14"/>
                <w:color w:val="auto"/>
                <w:w w:val="90"/>
              </w:rPr>
              <w:t>Common stock, par value $0.01 per share</w:t>
            </w:r>
          </w:p>
        </w:tc>
        <w:tc>
          <w:tcPr>
            <w:tcW w:w="1460" w:type="dxa"/>
            <w:vAlign w:val="bottom"/>
          </w:tcPr>
          <w:p>
            <w:pPr>
              <w:spacing w:after="0"/>
              <w:rPr>
                <w:sz w:val="16"/>
                <w:szCs w:val="16"/>
                <w:color w:val="auto"/>
              </w:rPr>
            </w:pPr>
          </w:p>
        </w:tc>
        <w:tc>
          <w:tcPr>
            <w:tcW w:w="2480" w:type="dxa"/>
            <w:vAlign w:val="bottom"/>
            <w:gridSpan w:val="2"/>
          </w:tcPr>
          <w:p>
            <w:pPr>
              <w:jc w:val="center"/>
              <w:ind w:right="1420"/>
              <w:spacing w:after="0"/>
              <w:rPr>
                <w:sz w:val="20"/>
                <w:szCs w:val="20"/>
                <w:color w:val="auto"/>
              </w:rPr>
            </w:pPr>
            <w:r>
              <w:rPr>
                <w:rFonts w:ascii="Arial" w:cs="Arial" w:eastAsia="Arial" w:hAnsi="Arial"/>
                <w:sz w:val="14"/>
                <w:szCs w:val="14"/>
                <w:color w:val="auto"/>
                <w:w w:val="99"/>
              </w:rPr>
              <w:t>WHG</w:t>
            </w:r>
          </w:p>
        </w:tc>
        <w:tc>
          <w:tcPr>
            <w:tcW w:w="300" w:type="dxa"/>
            <w:vAlign w:val="bottom"/>
          </w:tcPr>
          <w:p>
            <w:pPr>
              <w:spacing w:after="0"/>
              <w:rPr>
                <w:sz w:val="16"/>
                <w:szCs w:val="16"/>
                <w:color w:val="auto"/>
              </w:rPr>
            </w:pPr>
          </w:p>
        </w:tc>
        <w:tc>
          <w:tcPr>
            <w:tcW w:w="2640" w:type="dxa"/>
            <w:vAlign w:val="bottom"/>
          </w:tcPr>
          <w:p>
            <w:pPr>
              <w:jc w:val="center"/>
              <w:spacing w:after="0"/>
              <w:rPr>
                <w:sz w:val="20"/>
                <w:szCs w:val="20"/>
                <w:color w:val="auto"/>
              </w:rPr>
            </w:pPr>
            <w:r>
              <w:rPr>
                <w:rFonts w:ascii="Arial" w:cs="Arial" w:eastAsia="Arial" w:hAnsi="Arial"/>
                <w:sz w:val="14"/>
                <w:szCs w:val="14"/>
                <w:color w:val="auto"/>
                <w:w w:val="91"/>
              </w:rPr>
              <w:t>New York Stock Exchange</w:t>
            </w:r>
          </w:p>
        </w:tc>
      </w:tr>
    </w:tbl>
    <w:p>
      <w:pPr>
        <w:spacing w:after="0" w:line="255" w:lineRule="exact"/>
        <w:rPr>
          <w:sz w:val="24"/>
          <w:szCs w:val="24"/>
          <w:color w:val="auto"/>
        </w:rPr>
      </w:pPr>
    </w:p>
    <w:p>
      <w:pPr>
        <w:spacing w:after="0" w:line="313" w:lineRule="auto"/>
        <w:rPr>
          <w:sz w:val="20"/>
          <w:szCs w:val="20"/>
          <w:color w:val="auto"/>
        </w:rPr>
      </w:pPr>
      <w:r>
        <w:rPr>
          <w:rFonts w:ascii="Arial" w:cs="Arial" w:eastAsia="Arial" w:hAnsi="Arial"/>
          <w:sz w:val="14"/>
          <w:szCs w:val="14"/>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4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79" w:lineRule="exact"/>
        <w:rPr>
          <w:sz w:val="24"/>
          <w:szCs w:val="24"/>
          <w:color w:val="auto"/>
        </w:rPr>
      </w:pPr>
    </w:p>
    <w:p>
      <w:pPr>
        <w:ind w:right="400"/>
        <w:spacing w:after="0" w:line="186" w:lineRule="exact"/>
        <w:rPr>
          <w:sz w:val="20"/>
          <w:szCs w:val="20"/>
          <w:color w:val="auto"/>
        </w:rPr>
      </w:pPr>
      <w:r>
        <w:rPr>
          <w:rFonts w:ascii="Arial" w:cs="Arial" w:eastAsia="Arial" w:hAnsi="Arial"/>
          <w:sz w:val="14"/>
          <w:szCs w:val="14"/>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829945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Explanatory Note</w:t>
      </w:r>
    </w:p>
    <w:p>
      <w:pPr>
        <w:spacing w:after="0" w:line="98" w:lineRule="exact"/>
        <w:rPr>
          <w:sz w:val="20"/>
          <w:szCs w:val="20"/>
          <w:color w:val="auto"/>
        </w:rPr>
      </w:pPr>
    </w:p>
    <w:p>
      <w:pPr>
        <w:jc w:val="both"/>
        <w:ind w:right="20"/>
        <w:spacing w:after="0" w:line="297" w:lineRule="auto"/>
        <w:rPr>
          <w:sz w:val="20"/>
          <w:szCs w:val="20"/>
          <w:color w:val="auto"/>
        </w:rPr>
      </w:pPr>
      <w:r>
        <w:rPr>
          <w:rFonts w:ascii="Arial" w:cs="Arial" w:eastAsia="Arial" w:hAnsi="Arial"/>
          <w:sz w:val="13"/>
          <w:szCs w:val="13"/>
          <w:color w:val="auto"/>
        </w:rPr>
        <w:t>On November 18, 2022, Westwood Holdings Group, Inc. ("Westwood" or the "Company") filed a Current Report on Form 8-K (the "Initial 8-K") to report the completion of its acquisition of Salient Partners, L.P., a Delaware limited partnership ("Salient"), pursuant to that certain Purchase Agreement (the “Purchase Agreement”), dated as of May 25, 2022, by and the among the Company, Salient Partners, Salient Capital Management, LLC, a Delaware limited liability company and the other Sellers as listed on Annex A attached thereto.</w:t>
      </w:r>
    </w:p>
    <w:p>
      <w:pPr>
        <w:spacing w:after="0" w:line="39" w:lineRule="exact"/>
        <w:rPr>
          <w:sz w:val="20"/>
          <w:szCs w:val="20"/>
          <w:color w:val="auto"/>
        </w:rPr>
      </w:pPr>
    </w:p>
    <w:p>
      <w:pPr>
        <w:ind w:right="120"/>
        <w:spacing w:after="0" w:line="319" w:lineRule="auto"/>
        <w:rPr>
          <w:sz w:val="20"/>
          <w:szCs w:val="20"/>
          <w:color w:val="auto"/>
        </w:rPr>
      </w:pPr>
      <w:r>
        <w:rPr>
          <w:rFonts w:ascii="Arial" w:cs="Arial" w:eastAsia="Arial" w:hAnsi="Arial"/>
          <w:sz w:val="12"/>
          <w:szCs w:val="12"/>
          <w:color w:val="auto"/>
        </w:rPr>
        <w:t>This Amendment No. 1 (this “Amendment”) is being filed to amend and supplement Item 9.01 of the Initial 8-K to include (i) the audited financial statements of Salient as of and for the year ended December 31, 2021, (ii) the unaudited condensed financial statements of Salient as of and for the three and nine months ended September 30, 2022, and (iii) the unaudited pro forma condensed combined balance sheet of the Company as of September 30, 2022, the unaudited pro forma condensed combined statements of operations of the Company for the nine months ended September 30, 2022 and the unaudited pro forma combined statements of operations of the Company for the year ended December 31, 2021, giving effect to transactions pursuant to the Purchase Agreement.</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9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Financial statements of businesses acquired.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audited financial statements of Salient as of and for the year ended December 31, 2021 are filed as Exhibit 99.1 to this Amendment and are incorporated herein by reference.</w:t>
      </w:r>
    </w:p>
    <w:p>
      <w:pPr>
        <w:spacing w:after="0" w:line="94"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The unaudited condensed financial statements of Salient as of and for the three and nine months ended September 30, 2022 are filed as Exhibit 99.2 to this Amendment and are incorporated herein by reference.</w:t>
      </w:r>
    </w:p>
    <w:p>
      <w:pPr>
        <w:spacing w:after="0" w:line="4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3"/>
          <w:szCs w:val="13"/>
          <w:color w:val="auto"/>
        </w:rPr>
        <w:t>Pro forma financial information.</w:t>
      </w:r>
    </w:p>
    <w:p>
      <w:pPr>
        <w:spacing w:after="0" w:line="94"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The unaudited pro forma condensed combined balance sheet of the Company as of September 30, 2022 and the unaudited pro forma condensed combined statements of operations of the Company for the nine months ended September 30, 2022 and for the year ended December 31, 2021, giving effect to the transactions pursuant to the Purchase Agreement, are filed as Exhibit 99.3 to this Amendment and are incorporated herein by reference.</w:t>
      </w:r>
    </w:p>
    <w:p>
      <w:pPr>
        <w:spacing w:after="0" w:line="5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(d)</w:t>
      </w:r>
      <w:r>
        <w:rPr>
          <w:sz w:val="20"/>
          <w:szCs w:val="20"/>
          <w:color w:val="auto"/>
        </w:rPr>
        <w:tab/>
      </w:r>
      <w:r>
        <w:rPr>
          <w:rFonts w:ascii="Arial" w:cs="Arial" w:eastAsia="Arial" w:hAnsi="Arial"/>
          <w:sz w:val="13"/>
          <w:szCs w:val="13"/>
          <w:color w:val="auto"/>
        </w:rPr>
        <w:t>Exhibits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Exhibits are furnished with this Current Report on Form 8-K/A:</w:t>
      </w:r>
    </w:p>
    <w:p>
      <w:pPr>
        <w:sectPr>
          <w:pgSz w:w="11900" w:h="16838" w:orient="portrait"/>
          <w:cols w:equalWidth="0" w:num="1">
            <w:col w:w="11280"/>
          </w:cols>
          <w:pgMar w:left="300" w:top="1090" w:right="319" w:bottom="1440" w:gutter="0" w:footer="0" w:header="0"/>
        </w:sectPr>
      </w:pPr>
    </w:p>
    <w:p>
      <w:pPr>
        <w:spacing w:after="0" w:line="12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11652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23.1</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99.1</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99.2</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99.3</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593534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35345" cy="698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Consent of Forvis, LLP.</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Audited financial statements of Salient as of and for the years ended December 31, 2021 and 2020.</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Unaudited condensed financial statements of Salient as of and for the three and nine months ended September 30, 2022.</w:t>
      </w:r>
    </w:p>
    <w:p>
      <w:pPr>
        <w:spacing w:after="0" w:line="41" w:lineRule="exact"/>
        <w:rPr>
          <w:sz w:val="20"/>
          <w:szCs w:val="20"/>
          <w:color w:val="auto"/>
        </w:rPr>
      </w:pPr>
    </w:p>
    <w:p>
      <w:pPr>
        <w:ind w:right="140"/>
        <w:spacing w:after="0" w:line="251" w:lineRule="auto"/>
        <w:rPr>
          <w:sz w:val="20"/>
          <w:szCs w:val="20"/>
          <w:color w:val="auto"/>
        </w:rPr>
      </w:pPr>
      <w:r>
        <w:rPr>
          <w:rFonts w:ascii="Arial" w:cs="Arial" w:eastAsia="Arial" w:hAnsi="Arial"/>
          <w:sz w:val="14"/>
          <w:szCs w:val="14"/>
          <w:u w:val="single" w:color="auto"/>
          <w:color w:val="0000FF"/>
        </w:rPr>
        <w:t>Unaudited pro forma condensed combined balance sheet of the Company as of September 30, 2022 and unaudited pro forma condensed combined statements of operations of the Company for the nine months ended September 30, 2022 and for the year ended December 31, 2021, giving effect to the transactions pursuant to the Purchase Agreement.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-1253490</wp:posOffset>
            </wp:positionH>
            <wp:positionV relativeFrom="paragraph">
              <wp:posOffset>511810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1240" w:space="720"/>
            <w:col w:w="9320"/>
          </w:cols>
          <w:pgMar w:left="300" w:top="1090" w:right="319" w:bottom="1440" w:gutter="0" w:footer="0" w:header="0"/>
          <w:type w:val="continuous"/>
        </w:sectPr>
      </w:pPr>
    </w:p>
    <w:bookmarkStart w:id="2" w:name="page3"/>
    <w:bookmarkEnd w:id="2"/>
    <w:p>
      <w:pPr>
        <w:jc w:val="center"/>
        <w:ind w:right="-439"/>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4080" w:type="dxa"/>
            <w:vAlign w:val="bottom"/>
          </w:tcPr>
          <w:p>
            <w:pPr>
              <w:ind w:left="20"/>
              <w:spacing w:after="0"/>
              <w:rPr>
                <w:sz w:val="20"/>
                <w:szCs w:val="20"/>
                <w:color w:val="auto"/>
              </w:rPr>
            </w:pPr>
            <w:r>
              <w:rPr>
                <w:rFonts w:ascii="Arial" w:cs="Arial" w:eastAsia="Arial" w:hAnsi="Arial"/>
                <w:sz w:val="14"/>
                <w:szCs w:val="14"/>
                <w:color w:val="auto"/>
              </w:rPr>
              <w:t>WESTWOOD HOLDINGS GROUP, INC.</w:t>
            </w:r>
          </w:p>
        </w:tc>
      </w:tr>
      <w:tr>
        <w:trPr>
          <w:trHeight w:val="393"/>
        </w:trPr>
        <w:tc>
          <w:tcPr>
            <w:tcW w:w="6720" w:type="dxa"/>
            <w:vAlign w:val="bottom"/>
          </w:tcPr>
          <w:p>
            <w:pPr>
              <w:spacing w:after="0"/>
              <w:rPr>
                <w:sz w:val="20"/>
                <w:szCs w:val="20"/>
                <w:color w:val="auto"/>
              </w:rPr>
            </w:pPr>
            <w:r>
              <w:rPr>
                <w:rFonts w:ascii="Arial" w:cs="Arial" w:eastAsia="Arial" w:hAnsi="Arial"/>
                <w:sz w:val="14"/>
                <w:szCs w:val="14"/>
                <w:color w:val="auto"/>
              </w:rPr>
              <w:t>Date: November 18, 2022</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Brian O. Casey</w:t>
            </w:r>
          </w:p>
        </w:tc>
      </w:tr>
      <w:tr>
        <w:trPr>
          <w:trHeight w:val="171"/>
        </w:trPr>
        <w:tc>
          <w:tcPr>
            <w:tcW w:w="6720" w:type="dxa"/>
            <w:vAlign w:val="bottom"/>
          </w:tcPr>
          <w:p>
            <w:pPr>
              <w:spacing w:after="0"/>
              <w:rPr>
                <w:sz w:val="14"/>
                <w:szCs w:val="14"/>
                <w:color w:val="auto"/>
              </w:rPr>
            </w:pPr>
          </w:p>
        </w:tc>
        <w:tc>
          <w:tcPr>
            <w:tcW w:w="4080" w:type="dxa"/>
            <w:vAlign w:val="bottom"/>
          </w:tcPr>
          <w:p>
            <w:pPr>
              <w:ind w:left="20"/>
              <w:spacing w:after="0"/>
              <w:rPr>
                <w:sz w:val="20"/>
                <w:szCs w:val="20"/>
                <w:color w:val="auto"/>
              </w:rPr>
            </w:pPr>
            <w:r>
              <w:rPr>
                <w:rFonts w:ascii="Arial" w:cs="Arial" w:eastAsia="Arial" w:hAnsi="Arial"/>
                <w:sz w:val="14"/>
                <w:szCs w:val="14"/>
                <w:color w:val="auto"/>
              </w:rPr>
              <w:t>Brian O. Casey</w:t>
            </w:r>
          </w:p>
        </w:tc>
      </w:tr>
      <w:tr>
        <w:trPr>
          <w:trHeight w:val="180"/>
        </w:trPr>
        <w:tc>
          <w:tcPr>
            <w:tcW w:w="6720" w:type="dxa"/>
            <w:vAlign w:val="bottom"/>
          </w:tcPr>
          <w:p>
            <w:pPr>
              <w:spacing w:after="0"/>
              <w:rPr>
                <w:sz w:val="15"/>
                <w:szCs w:val="15"/>
                <w:color w:val="auto"/>
              </w:rPr>
            </w:pPr>
          </w:p>
        </w:tc>
        <w:tc>
          <w:tcPr>
            <w:tcW w:w="4080" w:type="dxa"/>
            <w:vAlign w:val="bottom"/>
          </w:tcPr>
          <w:p>
            <w:pPr>
              <w:ind w:left="20"/>
              <w:spacing w:after="0"/>
              <w:rPr>
                <w:sz w:val="20"/>
                <w:szCs w:val="20"/>
                <w:color w:val="auto"/>
              </w:rPr>
            </w:pPr>
            <w:r>
              <w:rPr>
                <w:rFonts w:ascii="Arial" w:cs="Arial" w:eastAsia="Arial" w:hAnsi="Arial"/>
                <w:sz w:val="14"/>
                <w:szCs w:val="14"/>
                <w:color w:val="auto"/>
              </w:rPr>
              <w:t>Chief Executive Officer</w:t>
            </w:r>
          </w:p>
        </w:tc>
      </w:tr>
    </w:tbl>
    <w:p>
      <w:pPr>
        <w:sectPr>
          <w:pgSz w:w="11900" w:h="16838" w:orient="portrait"/>
          <w:cols w:equalWidth="0" w:num="1">
            <w:col w:w="10800"/>
          </w:cols>
          <w:pgMar w:left="320" w:top="730" w:right="77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668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auto"/>
                <w:w w:val="98"/>
              </w:rPr>
              <w:t>SALIENT PARTNERS, L.P. AND SUBSIDIARIES</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00" w:type="dxa"/>
            <w:vAlign w:val="bottom"/>
          </w:tcPr>
          <w:p>
            <w:pPr>
              <w:spacing w:after="0"/>
              <w:rPr>
                <w:sz w:val="14"/>
                <w:szCs w:val="14"/>
                <w:color w:val="auto"/>
              </w:rPr>
            </w:pPr>
          </w:p>
        </w:tc>
        <w:tc>
          <w:tcPr>
            <w:tcW w:w="668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rPr>
              <w:t>CONDENSED CONSOLIDATED BALANCE SHEET</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00" w:type="dxa"/>
            <w:vAlign w:val="bottom"/>
          </w:tcPr>
          <w:p>
            <w:pPr>
              <w:spacing w:after="0"/>
              <w:rPr>
                <w:sz w:val="14"/>
                <w:szCs w:val="14"/>
                <w:color w:val="auto"/>
              </w:rPr>
            </w:pPr>
          </w:p>
        </w:tc>
        <w:tc>
          <w:tcPr>
            <w:tcW w:w="668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auto"/>
                <w:w w:val="91"/>
              </w:rPr>
              <w:t>(In thousands)</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300" w:type="dxa"/>
            <w:vAlign w:val="bottom"/>
          </w:tcPr>
          <w:p>
            <w:pPr>
              <w:spacing w:after="0"/>
              <w:rPr>
                <w:sz w:val="16"/>
                <w:szCs w:val="16"/>
                <w:color w:val="auto"/>
              </w:rPr>
            </w:pPr>
          </w:p>
        </w:tc>
        <w:tc>
          <w:tcPr>
            <w:tcW w:w="668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auto"/>
                <w:w w:val="92"/>
              </w:rPr>
              <w:t>(Unaudited)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296"/>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68"/>
        </w:trPr>
        <w:tc>
          <w:tcPr>
            <w:tcW w:w="3300" w:type="dxa"/>
            <w:vAlign w:val="bottom"/>
            <w:tcBorders>
              <w:bottom w:val="single" w:sz="8" w:color="CCEEFF"/>
            </w:tcBorders>
          </w:tcPr>
          <w:p>
            <w:pPr>
              <w:spacing w:after="0"/>
              <w:rPr>
                <w:sz w:val="14"/>
                <w:szCs w:val="14"/>
                <w:color w:val="auto"/>
              </w:rPr>
            </w:pPr>
          </w:p>
        </w:tc>
        <w:tc>
          <w:tcPr>
            <w:tcW w:w="64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2"/>
        </w:trPr>
        <w:tc>
          <w:tcPr>
            <w:tcW w:w="3300" w:type="dxa"/>
            <w:vAlign w:val="bottom"/>
            <w:shd w:val="clear" w:color="auto" w:fill="CCEEFF"/>
          </w:tcPr>
          <w:p>
            <w:pPr>
              <w:spacing w:after="0"/>
              <w:rPr>
                <w:sz w:val="13"/>
                <w:szCs w:val="13"/>
                <w:color w:val="auto"/>
              </w:rPr>
            </w:pPr>
          </w:p>
        </w:tc>
        <w:tc>
          <w:tcPr>
            <w:tcW w:w="6460" w:type="dxa"/>
            <w:vAlign w:val="bottom"/>
            <w:shd w:val="clear" w:color="auto" w:fill="CCEEFF"/>
          </w:tcPr>
          <w:p>
            <w:pPr>
              <w:jc w:val="center"/>
              <w:ind w:right="3234"/>
              <w:spacing w:after="0" w:line="148" w:lineRule="exact"/>
              <w:rPr>
                <w:sz w:val="20"/>
                <w:szCs w:val="20"/>
                <w:color w:val="auto"/>
              </w:rPr>
            </w:pPr>
            <w:r>
              <w:rPr>
                <w:rFonts w:ascii="Arial" w:cs="Arial" w:eastAsia="Arial" w:hAnsi="Arial"/>
                <w:sz w:val="13"/>
                <w:szCs w:val="13"/>
                <w:b w:val="1"/>
                <w:bCs w:val="1"/>
                <w:color w:val="auto"/>
                <w:w w:val="92"/>
              </w:rPr>
              <w:t>ASSETS</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Cash and cash equivalents</w:t>
            </w:r>
          </w:p>
        </w:tc>
        <w:tc>
          <w:tcPr>
            <w:tcW w:w="6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5,982</w:t>
            </w:r>
          </w:p>
        </w:tc>
        <w:tc>
          <w:tcPr>
            <w:tcW w:w="0" w:type="dxa"/>
            <w:vAlign w:val="bottom"/>
          </w:tcPr>
          <w:p>
            <w:pPr>
              <w:spacing w:after="0"/>
              <w:rPr>
                <w:sz w:val="1"/>
                <w:szCs w:val="1"/>
                <w:color w:val="auto"/>
              </w:rPr>
            </w:pPr>
          </w:p>
        </w:tc>
      </w:tr>
      <w:tr>
        <w:trPr>
          <w:trHeight w:val="168"/>
        </w:trPr>
        <w:tc>
          <w:tcPr>
            <w:tcW w:w="3300" w:type="dxa"/>
            <w:vAlign w:val="bottom"/>
          </w:tcPr>
          <w:p>
            <w:pPr>
              <w:ind w:left="360"/>
              <w:spacing w:after="0"/>
              <w:rPr>
                <w:sz w:val="20"/>
                <w:szCs w:val="20"/>
                <w:color w:val="auto"/>
              </w:rPr>
            </w:pPr>
            <w:r>
              <w:rPr>
                <w:rFonts w:ascii="Arial" w:cs="Arial" w:eastAsia="Arial" w:hAnsi="Arial"/>
                <w:sz w:val="13"/>
                <w:szCs w:val="13"/>
                <w:color w:val="auto"/>
              </w:rPr>
              <w:t>Accounts receivable</w:t>
            </w:r>
          </w:p>
        </w:tc>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3,294</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 current assets</w:t>
            </w:r>
          </w:p>
        </w:tc>
        <w:tc>
          <w:tcPr>
            <w:tcW w:w="64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1,034</w:t>
            </w:r>
          </w:p>
        </w:tc>
        <w:tc>
          <w:tcPr>
            <w:tcW w:w="0" w:type="dxa"/>
            <w:vAlign w:val="bottom"/>
          </w:tcPr>
          <w:p>
            <w:pPr>
              <w:spacing w:after="0"/>
              <w:rPr>
                <w:sz w:val="1"/>
                <w:szCs w:val="1"/>
                <w:color w:val="auto"/>
              </w:rPr>
            </w:pPr>
          </w:p>
        </w:tc>
      </w:tr>
      <w:tr>
        <w:trPr>
          <w:trHeight w:val="158"/>
        </w:trPr>
        <w:tc>
          <w:tcPr>
            <w:tcW w:w="3300" w:type="dxa"/>
            <w:vAlign w:val="bottom"/>
          </w:tcPr>
          <w:p>
            <w:pPr>
              <w:ind w:left="540"/>
              <w:spacing w:after="0" w:line="146" w:lineRule="exact"/>
              <w:rPr>
                <w:sz w:val="20"/>
                <w:szCs w:val="20"/>
                <w:color w:val="auto"/>
              </w:rPr>
            </w:pPr>
            <w:r>
              <w:rPr>
                <w:rFonts w:ascii="Arial" w:cs="Arial" w:eastAsia="Arial" w:hAnsi="Arial"/>
                <w:sz w:val="13"/>
                <w:szCs w:val="13"/>
                <w:color w:val="auto"/>
              </w:rPr>
              <w:t>Total current assets</w:t>
            </w:r>
          </w:p>
        </w:tc>
        <w:tc>
          <w:tcPr>
            <w:tcW w:w="6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10,310</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Investments:</w:t>
            </w:r>
          </w:p>
        </w:tc>
        <w:tc>
          <w:tcPr>
            <w:tcW w:w="6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tcPr>
          <w:p>
            <w:pPr>
              <w:ind w:left="360"/>
              <w:spacing w:after="0"/>
              <w:rPr>
                <w:sz w:val="20"/>
                <w:szCs w:val="20"/>
                <w:color w:val="auto"/>
              </w:rPr>
            </w:pPr>
            <w:r>
              <w:rPr>
                <w:rFonts w:ascii="Arial" w:cs="Arial" w:eastAsia="Arial" w:hAnsi="Arial"/>
                <w:sz w:val="13"/>
                <w:szCs w:val="13"/>
                <w:color w:val="auto"/>
              </w:rPr>
              <w:t>Unconsolidated affiliates</w:t>
            </w:r>
          </w:p>
        </w:tc>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4,659</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w:t>
            </w:r>
          </w:p>
        </w:tc>
        <w:tc>
          <w:tcPr>
            <w:tcW w:w="6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Arial" w:cs="Arial" w:eastAsia="Arial" w:hAnsi="Arial"/>
                <w:sz w:val="13"/>
                <w:szCs w:val="13"/>
                <w:color w:val="auto"/>
              </w:rPr>
              <w:t>Goodwill</w:t>
            </w:r>
          </w:p>
        </w:tc>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25,922</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 net</w:t>
            </w:r>
          </w:p>
        </w:tc>
        <w:tc>
          <w:tcPr>
            <w:tcW w:w="6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2,046</w:t>
            </w:r>
          </w:p>
        </w:tc>
        <w:tc>
          <w:tcPr>
            <w:tcW w:w="0" w:type="dxa"/>
            <w:vAlign w:val="bottom"/>
          </w:tcPr>
          <w:p>
            <w:pPr>
              <w:spacing w:after="0"/>
              <w:rPr>
                <w:sz w:val="1"/>
                <w:szCs w:val="1"/>
                <w:color w:val="auto"/>
              </w:rPr>
            </w:pPr>
          </w:p>
        </w:tc>
      </w:tr>
      <w:tr>
        <w:trPr>
          <w:trHeight w:val="168"/>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8"/>
              </w:rPr>
              <w:t>Property and equipment, net of accumulated depreciation</w:t>
            </w:r>
          </w:p>
        </w:tc>
        <w:tc>
          <w:tcPr>
            <w:tcW w:w="64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Total assets</w:t>
            </w:r>
          </w:p>
        </w:tc>
        <w:tc>
          <w:tcPr>
            <w:tcW w:w="6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43,344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bottom w:val="single" w:sz="8" w:color="CCEEFF"/>
            </w:tcBorders>
            <w:vMerge w:val="restart"/>
          </w:tcPr>
          <w:p>
            <w:pPr>
              <w:jc w:val="center"/>
              <w:ind w:right="3214"/>
              <w:spacing w:after="0"/>
              <w:rPr>
                <w:sz w:val="20"/>
                <w:szCs w:val="20"/>
                <w:color w:val="auto"/>
              </w:rPr>
            </w:pPr>
            <w:r>
              <w:rPr>
                <w:rFonts w:ascii="Arial" w:cs="Arial" w:eastAsia="Arial" w:hAnsi="Arial"/>
                <w:sz w:val="13"/>
                <w:szCs w:val="13"/>
                <w:b w:val="1"/>
                <w:bCs w:val="1"/>
                <w:color w:val="auto"/>
                <w:w w:val="99"/>
              </w:rPr>
              <w:t>LIABILITIES AND PARTNERS' CAPITAL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300" w:type="dxa"/>
            <w:vAlign w:val="bottom"/>
          </w:tcPr>
          <w:p>
            <w:pPr>
              <w:spacing w:after="0"/>
              <w:rPr>
                <w:sz w:val="9"/>
                <w:szCs w:val="9"/>
                <w:color w:val="auto"/>
              </w:rPr>
            </w:pPr>
          </w:p>
        </w:tc>
        <w:tc>
          <w:tcPr>
            <w:tcW w:w="6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6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tcPr>
          <w:p>
            <w:pPr>
              <w:ind w:left="360"/>
              <w:spacing w:after="0"/>
              <w:rPr>
                <w:sz w:val="20"/>
                <w:szCs w:val="20"/>
                <w:color w:val="auto"/>
              </w:rPr>
            </w:pPr>
            <w:r>
              <w:rPr>
                <w:rFonts w:ascii="Arial" w:cs="Arial" w:eastAsia="Arial" w:hAnsi="Arial"/>
                <w:sz w:val="13"/>
                <w:szCs w:val="13"/>
                <w:color w:val="auto"/>
              </w:rPr>
              <w:t>Accounts payable and accrued liabilities</w:t>
            </w:r>
          </w:p>
        </w:tc>
        <w:tc>
          <w:tcPr>
            <w:tcW w:w="6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13,238</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Subordinated debt</w:t>
            </w:r>
          </w:p>
        </w:tc>
        <w:tc>
          <w:tcPr>
            <w:tcW w:w="6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41,414</w:t>
            </w:r>
          </w:p>
        </w:tc>
        <w:tc>
          <w:tcPr>
            <w:tcW w:w="0" w:type="dxa"/>
            <w:vAlign w:val="bottom"/>
          </w:tcPr>
          <w:p>
            <w:pPr>
              <w:spacing w:after="0"/>
              <w:rPr>
                <w:sz w:val="1"/>
                <w:szCs w:val="1"/>
                <w:color w:val="auto"/>
              </w:rPr>
            </w:pPr>
          </w:p>
        </w:tc>
      </w:tr>
      <w:tr>
        <w:trPr>
          <w:trHeight w:val="168"/>
        </w:trPr>
        <w:tc>
          <w:tcPr>
            <w:tcW w:w="3300" w:type="dxa"/>
            <w:vAlign w:val="bottom"/>
          </w:tcPr>
          <w:p>
            <w:pPr>
              <w:ind w:left="360"/>
              <w:spacing w:after="0"/>
              <w:rPr>
                <w:sz w:val="20"/>
                <w:szCs w:val="20"/>
                <w:color w:val="auto"/>
              </w:rPr>
            </w:pPr>
            <w:r>
              <w:rPr>
                <w:rFonts w:ascii="Arial" w:cs="Arial" w:eastAsia="Arial" w:hAnsi="Arial"/>
                <w:sz w:val="13"/>
                <w:szCs w:val="13"/>
                <w:color w:val="auto"/>
              </w:rPr>
              <w:t>Senior debt</w:t>
            </w:r>
          </w:p>
        </w:tc>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16,891</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Note payable</w:t>
            </w:r>
          </w:p>
        </w:tc>
        <w:tc>
          <w:tcPr>
            <w:tcW w:w="6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4,004</w:t>
            </w:r>
          </w:p>
        </w:tc>
        <w:tc>
          <w:tcPr>
            <w:tcW w:w="0" w:type="dxa"/>
            <w:vAlign w:val="bottom"/>
          </w:tcPr>
          <w:p>
            <w:pPr>
              <w:spacing w:after="0"/>
              <w:rPr>
                <w:sz w:val="1"/>
                <w:szCs w:val="1"/>
                <w:color w:val="auto"/>
              </w:rPr>
            </w:pPr>
          </w:p>
        </w:tc>
      </w:tr>
      <w:tr>
        <w:trPr>
          <w:trHeight w:val="168"/>
        </w:trPr>
        <w:tc>
          <w:tcPr>
            <w:tcW w:w="3300" w:type="dxa"/>
            <w:vAlign w:val="bottom"/>
          </w:tcPr>
          <w:p>
            <w:pPr>
              <w:ind w:left="360"/>
              <w:spacing w:after="0"/>
              <w:rPr>
                <w:sz w:val="20"/>
                <w:szCs w:val="20"/>
                <w:color w:val="auto"/>
              </w:rPr>
            </w:pPr>
            <w:r>
              <w:rPr>
                <w:rFonts w:ascii="Arial" w:cs="Arial" w:eastAsia="Arial" w:hAnsi="Arial"/>
                <w:sz w:val="13"/>
                <w:szCs w:val="13"/>
                <w:color w:val="auto"/>
              </w:rPr>
              <w:t>Restructuring fee payable</w:t>
            </w:r>
          </w:p>
        </w:tc>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SBA loan</w:t>
            </w:r>
          </w:p>
        </w:tc>
        <w:tc>
          <w:tcPr>
            <w:tcW w:w="6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1,860</w:t>
            </w:r>
          </w:p>
        </w:tc>
        <w:tc>
          <w:tcPr>
            <w:tcW w:w="0" w:type="dxa"/>
            <w:vAlign w:val="bottom"/>
          </w:tcPr>
          <w:p>
            <w:pPr>
              <w:spacing w:after="0"/>
              <w:rPr>
                <w:sz w:val="1"/>
                <w:szCs w:val="1"/>
                <w:color w:val="auto"/>
              </w:rPr>
            </w:pPr>
          </w:p>
        </w:tc>
      </w:tr>
      <w:tr>
        <w:trPr>
          <w:trHeight w:val="168"/>
        </w:trPr>
        <w:tc>
          <w:tcPr>
            <w:tcW w:w="3300" w:type="dxa"/>
            <w:vAlign w:val="bottom"/>
          </w:tcPr>
          <w:p>
            <w:pPr>
              <w:ind w:left="360"/>
              <w:spacing w:after="0"/>
              <w:rPr>
                <w:sz w:val="20"/>
                <w:szCs w:val="20"/>
                <w:color w:val="auto"/>
              </w:rPr>
            </w:pPr>
            <w:r>
              <w:rPr>
                <w:rFonts w:ascii="Arial" w:cs="Arial" w:eastAsia="Arial" w:hAnsi="Arial"/>
                <w:sz w:val="13"/>
                <w:szCs w:val="13"/>
                <w:color w:val="auto"/>
              </w:rPr>
              <w:t>State margin taxes payable</w:t>
            </w:r>
          </w:p>
        </w:tc>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 current liabilities</w:t>
            </w:r>
          </w:p>
        </w:tc>
        <w:tc>
          <w:tcPr>
            <w:tcW w:w="64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58"/>
        </w:trPr>
        <w:tc>
          <w:tcPr>
            <w:tcW w:w="3300" w:type="dxa"/>
            <w:vAlign w:val="bottom"/>
          </w:tcPr>
          <w:p>
            <w:pPr>
              <w:ind w:left="540"/>
              <w:spacing w:after="0" w:line="146" w:lineRule="exact"/>
              <w:rPr>
                <w:sz w:val="20"/>
                <w:szCs w:val="20"/>
                <w:color w:val="auto"/>
              </w:rPr>
            </w:pPr>
            <w:r>
              <w:rPr>
                <w:rFonts w:ascii="Arial" w:cs="Arial" w:eastAsia="Arial" w:hAnsi="Arial"/>
                <w:sz w:val="13"/>
                <w:szCs w:val="13"/>
                <w:color w:val="auto"/>
              </w:rPr>
              <w:t>Total current liabilities</w:t>
            </w:r>
          </w:p>
        </w:tc>
        <w:tc>
          <w:tcPr>
            <w:tcW w:w="6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80,084</w:t>
            </w:r>
          </w:p>
        </w:tc>
        <w:tc>
          <w:tcPr>
            <w:tcW w:w="0" w:type="dxa"/>
            <w:vAlign w:val="bottom"/>
          </w:tcPr>
          <w:p>
            <w:pPr>
              <w:spacing w:after="0"/>
              <w:rPr>
                <w:sz w:val="1"/>
                <w:szCs w:val="1"/>
                <w:color w:val="auto"/>
              </w:rPr>
            </w:pPr>
          </w:p>
        </w:tc>
      </w:tr>
      <w:tr>
        <w:trPr>
          <w:trHeight w:val="204"/>
        </w:trPr>
        <w:tc>
          <w:tcPr>
            <w:tcW w:w="3300" w:type="dxa"/>
            <w:vAlign w:val="bottom"/>
            <w:shd w:val="clear" w:color="auto" w:fill="CCEEFF"/>
          </w:tcPr>
          <w:p>
            <w:pPr>
              <w:spacing w:after="0"/>
              <w:rPr>
                <w:sz w:val="17"/>
                <w:szCs w:val="17"/>
                <w:color w:val="auto"/>
              </w:rPr>
            </w:pPr>
          </w:p>
        </w:tc>
        <w:tc>
          <w:tcPr>
            <w:tcW w:w="6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Arial" w:cs="Arial" w:eastAsia="Arial" w:hAnsi="Arial"/>
                <w:sz w:val="13"/>
                <w:szCs w:val="13"/>
                <w:color w:val="auto"/>
              </w:rPr>
              <w:t>Partners' deficit:</w:t>
            </w:r>
          </w:p>
        </w:tc>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Partners' deficit</w:t>
            </w:r>
          </w:p>
        </w:tc>
        <w:tc>
          <w:tcPr>
            <w:tcW w:w="64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(36,740)</w:t>
            </w:r>
          </w:p>
        </w:tc>
        <w:tc>
          <w:tcPr>
            <w:tcW w:w="0" w:type="dxa"/>
            <w:vAlign w:val="bottom"/>
          </w:tcPr>
          <w:p>
            <w:pPr>
              <w:spacing w:after="0"/>
              <w:rPr>
                <w:sz w:val="1"/>
                <w:szCs w:val="1"/>
                <w:color w:val="auto"/>
              </w:rPr>
            </w:pPr>
          </w:p>
        </w:tc>
      </w:tr>
      <w:tr>
        <w:trPr>
          <w:trHeight w:val="158"/>
        </w:trPr>
        <w:tc>
          <w:tcPr>
            <w:tcW w:w="3300" w:type="dxa"/>
            <w:vAlign w:val="bottom"/>
            <w:tcBorders>
              <w:bottom w:val="single" w:sz="8" w:color="CCEEFF"/>
            </w:tcBorders>
          </w:tcPr>
          <w:p>
            <w:pPr>
              <w:ind w:left="620"/>
              <w:spacing w:after="0" w:line="146" w:lineRule="exact"/>
              <w:rPr>
                <w:sz w:val="20"/>
                <w:szCs w:val="20"/>
                <w:color w:val="auto"/>
              </w:rPr>
            </w:pPr>
            <w:r>
              <w:rPr>
                <w:rFonts w:ascii="Arial" w:cs="Arial" w:eastAsia="Arial" w:hAnsi="Arial"/>
                <w:sz w:val="13"/>
                <w:szCs w:val="13"/>
                <w:color w:val="auto"/>
              </w:rPr>
              <w:t>Total partners' deficit</w:t>
            </w:r>
          </w:p>
        </w:tc>
        <w:tc>
          <w:tcPr>
            <w:tcW w:w="64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(36,740)</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Total liabilities and partners' deficit</w:t>
            </w:r>
          </w:p>
        </w:tc>
        <w:tc>
          <w:tcPr>
            <w:tcW w:w="6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43,344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730" w:right="319" w:bottom="1440" w:gutter="0" w:footer="0" w:header="0"/>
        </w:sectPr>
      </w:pPr>
    </w:p>
    <w:bookmarkStart w:id="46" w:name="page47"/>
    <w:bookmarkEnd w:id="46"/>
    <w:p>
      <w:pPr>
        <w:jc w:val="center"/>
        <w:spacing w:after="0"/>
        <w:rPr>
          <w:sz w:val="20"/>
          <w:szCs w:val="20"/>
          <w:color w:val="auto"/>
        </w:rPr>
      </w:pPr>
      <w:r>
        <w:rPr>
          <w:rFonts w:ascii="Arial" w:cs="Arial" w:eastAsia="Arial" w:hAnsi="Arial"/>
          <w:sz w:val="14"/>
          <w:szCs w:val="14"/>
          <w:b w:val="1"/>
          <w:bCs w:val="1"/>
          <w:color w:val="auto"/>
        </w:rPr>
        <w:t>SALIENT PARTNERS,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gridSpan w:val="2"/>
          </w:tcPr>
          <w:p>
            <w:pPr>
              <w:spacing w:after="0"/>
              <w:rPr>
                <w:sz w:val="20"/>
                <w:szCs w:val="20"/>
                <w:color w:val="auto"/>
              </w:rPr>
            </w:pPr>
            <w:r>
              <w:rPr>
                <w:rFonts w:ascii="Arial" w:cs="Arial" w:eastAsia="Arial" w:hAnsi="Arial"/>
                <w:sz w:val="11"/>
                <w:szCs w:val="11"/>
                <w:b w:val="1"/>
                <w:bCs w:val="1"/>
                <w:color w:val="auto"/>
              </w:rPr>
              <w:t>Three Months Ended September 30,</w:t>
            </w:r>
          </w:p>
        </w:tc>
        <w:tc>
          <w:tcPr>
            <w:tcW w:w="100" w:type="dxa"/>
            <w:vAlign w:val="bottom"/>
          </w:tcPr>
          <w:p>
            <w:pPr>
              <w:spacing w:after="0"/>
              <w:rPr>
                <w:sz w:val="10"/>
                <w:szCs w:val="10"/>
                <w:color w:val="auto"/>
              </w:rPr>
            </w:pPr>
          </w:p>
        </w:tc>
        <w:tc>
          <w:tcPr>
            <w:tcW w:w="1800" w:type="dxa"/>
            <w:vAlign w:val="bottom"/>
          </w:tcPr>
          <w:p>
            <w:pPr>
              <w:jc w:val="right"/>
              <w:ind w:right="40"/>
              <w:spacing w:after="0"/>
              <w:rPr>
                <w:sz w:val="20"/>
                <w:szCs w:val="20"/>
                <w:color w:val="auto"/>
              </w:rPr>
            </w:pPr>
            <w:r>
              <w:rPr>
                <w:rFonts w:ascii="Arial" w:cs="Arial" w:eastAsia="Arial" w:hAnsi="Arial"/>
                <w:sz w:val="11"/>
                <w:szCs w:val="11"/>
                <w:b w:val="1"/>
                <w:bCs w:val="1"/>
                <w:color w:val="auto"/>
                <w:w w:val="92"/>
              </w:rPr>
              <w:t>Nine Months Ended September 30,</w:t>
            </w:r>
          </w:p>
        </w:tc>
      </w:tr>
      <w:tr>
        <w:trPr>
          <w:trHeight w:val="151"/>
        </w:trPr>
        <w:tc>
          <w:tcPr>
            <w:tcW w:w="74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78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780"/>
              <w:spacing w:after="0"/>
              <w:rPr>
                <w:sz w:val="20"/>
                <w:szCs w:val="20"/>
                <w:color w:val="auto"/>
              </w:rPr>
            </w:pPr>
            <w:r>
              <w:rPr>
                <w:rFonts w:ascii="Arial" w:cs="Arial" w:eastAsia="Arial" w:hAnsi="Arial"/>
                <w:sz w:val="11"/>
                <w:szCs w:val="11"/>
                <w:b w:val="1"/>
                <w:bCs w:val="1"/>
                <w:color w:val="auto"/>
              </w:rPr>
              <w:t>2022</w:t>
            </w:r>
          </w:p>
        </w:tc>
      </w:tr>
      <w:tr>
        <w:trPr>
          <w:trHeight w:val="143"/>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REVENUES:</w:t>
            </w: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r>
      <w:tr>
        <w:trPr>
          <w:trHeight w:val="156"/>
        </w:trPr>
        <w:tc>
          <w:tcPr>
            <w:tcW w:w="7400" w:type="dxa"/>
            <w:vAlign w:val="bottom"/>
          </w:tcPr>
          <w:p>
            <w:pPr>
              <w:ind w:left="280"/>
              <w:spacing w:after="0"/>
              <w:rPr>
                <w:sz w:val="20"/>
                <w:szCs w:val="20"/>
                <w:color w:val="auto"/>
              </w:rPr>
            </w:pPr>
            <w:r>
              <w:rPr>
                <w:rFonts w:ascii="Arial" w:cs="Arial" w:eastAsia="Arial" w:hAnsi="Arial"/>
                <w:sz w:val="12"/>
                <w:szCs w:val="12"/>
                <w:color w:val="auto"/>
              </w:rPr>
              <w:t>Fund management and investment advisory</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820" w:type="dxa"/>
            <w:vAlign w:val="bottom"/>
          </w:tcPr>
          <w:p>
            <w:pPr>
              <w:jc w:val="right"/>
              <w:spacing w:after="0"/>
              <w:rPr>
                <w:sz w:val="20"/>
                <w:szCs w:val="20"/>
                <w:color w:val="auto"/>
              </w:rPr>
            </w:pPr>
            <w:r>
              <w:rPr>
                <w:rFonts w:ascii="Arial" w:cs="Arial" w:eastAsia="Arial" w:hAnsi="Arial"/>
                <w:sz w:val="12"/>
                <w:szCs w:val="12"/>
                <w:color w:val="auto"/>
              </w:rPr>
              <w:t>7,167</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800" w:type="dxa"/>
            <w:vAlign w:val="bottom"/>
          </w:tcPr>
          <w:p>
            <w:pPr>
              <w:jc w:val="right"/>
              <w:spacing w:after="0"/>
              <w:rPr>
                <w:sz w:val="20"/>
                <w:szCs w:val="20"/>
                <w:color w:val="auto"/>
              </w:rPr>
            </w:pPr>
            <w:r>
              <w:rPr>
                <w:rFonts w:ascii="Arial" w:cs="Arial" w:eastAsia="Arial" w:hAnsi="Arial"/>
                <w:sz w:val="12"/>
                <w:szCs w:val="12"/>
                <w:color w:val="auto"/>
              </w:rPr>
              <w:t>22,802</w:t>
            </w:r>
          </w:p>
        </w:tc>
      </w:tr>
      <w:tr>
        <w:trPr>
          <w:trHeight w:val="162"/>
        </w:trPr>
        <w:tc>
          <w:tcPr>
            <w:tcW w:w="74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Fiduciary fee income</w:t>
            </w: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w:t>
            </w:r>
          </w:p>
        </w:tc>
      </w:tr>
      <w:tr>
        <w:trPr>
          <w:trHeight w:val="156"/>
        </w:trPr>
        <w:tc>
          <w:tcPr>
            <w:tcW w:w="740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Private placement commissions</w:t>
            </w:r>
          </w:p>
        </w:tc>
        <w:tc>
          <w:tcPr>
            <w:tcW w:w="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w:t>
            </w:r>
          </w:p>
        </w:tc>
      </w:tr>
      <w:tr>
        <w:trPr>
          <w:trHeight w:val="153"/>
        </w:trPr>
        <w:tc>
          <w:tcPr>
            <w:tcW w:w="7400" w:type="dxa"/>
            <w:vAlign w:val="bottom"/>
            <w:shd w:val="clear" w:color="auto" w:fill="CCEEFF"/>
          </w:tcPr>
          <w:p>
            <w:pPr>
              <w:ind w:left="680"/>
              <w:spacing w:after="0" w:line="136" w:lineRule="exact"/>
              <w:rPr>
                <w:sz w:val="20"/>
                <w:szCs w:val="20"/>
                <w:color w:val="auto"/>
              </w:rPr>
            </w:pPr>
            <w:r>
              <w:rPr>
                <w:rFonts w:ascii="Arial" w:cs="Arial" w:eastAsia="Arial" w:hAnsi="Arial"/>
                <w:sz w:val="12"/>
                <w:szCs w:val="12"/>
                <w:color w:val="auto"/>
              </w:rPr>
              <w:t>Total revenues</w:t>
            </w:r>
          </w:p>
        </w:tc>
        <w:tc>
          <w:tcPr>
            <w:tcW w:w="80" w:type="dxa"/>
            <w:vAlign w:val="bottom"/>
            <w:tcBorders>
              <w:bottom w:val="single" w:sz="8" w:color="auto"/>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7,270</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23,111</w:t>
            </w:r>
          </w:p>
        </w:tc>
      </w:tr>
      <w:tr>
        <w:trPr>
          <w:trHeight w:val="138"/>
        </w:trPr>
        <w:tc>
          <w:tcPr>
            <w:tcW w:w="7400" w:type="dxa"/>
            <w:vAlign w:val="bottom"/>
          </w:tcPr>
          <w:p>
            <w:pPr>
              <w:ind w:left="20"/>
              <w:spacing w:after="0"/>
              <w:rPr>
                <w:sz w:val="20"/>
                <w:szCs w:val="20"/>
                <w:color w:val="auto"/>
              </w:rPr>
            </w:pPr>
            <w:r>
              <w:rPr>
                <w:rFonts w:ascii="Arial" w:cs="Arial" w:eastAsia="Arial" w:hAnsi="Arial"/>
                <w:sz w:val="12"/>
                <w:szCs w:val="12"/>
                <w:b w:val="1"/>
                <w:bCs w:val="1"/>
                <w:color w:val="auto"/>
              </w:rPr>
              <w:t>EXPENSES:</w:t>
            </w: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60"/>
        </w:trPr>
        <w:tc>
          <w:tcPr>
            <w:tcW w:w="74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Employee compensation and benefits</w:t>
            </w:r>
          </w:p>
        </w:tc>
        <w:tc>
          <w:tcPr>
            <w:tcW w:w="80" w:type="dxa"/>
            <w:vAlign w:val="bottom"/>
            <w:shd w:val="clear" w:color="auto" w:fill="CCEEFF"/>
          </w:tcPr>
          <w:p>
            <w:pPr>
              <w:spacing w:after="0"/>
              <w:rPr>
                <w:sz w:val="13"/>
                <w:szCs w:val="1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11,942</w:t>
            </w:r>
          </w:p>
        </w:tc>
      </w:tr>
      <w:tr>
        <w:trPr>
          <w:trHeight w:val="156"/>
        </w:trPr>
        <w:tc>
          <w:tcPr>
            <w:tcW w:w="7400" w:type="dxa"/>
            <w:vAlign w:val="bottom"/>
          </w:tcPr>
          <w:p>
            <w:pPr>
              <w:ind w:left="280"/>
              <w:spacing w:after="0"/>
              <w:rPr>
                <w:sz w:val="20"/>
                <w:szCs w:val="20"/>
                <w:color w:val="auto"/>
              </w:rPr>
            </w:pPr>
            <w:r>
              <w:rPr>
                <w:rFonts w:ascii="Arial" w:cs="Arial" w:eastAsia="Arial" w:hAnsi="Arial"/>
                <w:sz w:val="12"/>
                <w:szCs w:val="12"/>
                <w:color w:val="auto"/>
              </w:rPr>
              <w:t>Servicing and private placement fees</w:t>
            </w:r>
          </w:p>
        </w:tc>
        <w:tc>
          <w:tcPr>
            <w:tcW w:w="8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2"/>
                <w:szCs w:val="12"/>
                <w:color w:val="auto"/>
              </w:rPr>
              <w:t>3,125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4,620</w:t>
            </w:r>
          </w:p>
        </w:tc>
      </w:tr>
      <w:tr>
        <w:trPr>
          <w:trHeight w:val="162"/>
        </w:trPr>
        <w:tc>
          <w:tcPr>
            <w:tcW w:w="74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Professional fees</w:t>
            </w: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1,460</w:t>
            </w:r>
          </w:p>
        </w:tc>
      </w:tr>
      <w:tr>
        <w:trPr>
          <w:trHeight w:val="156"/>
        </w:trPr>
        <w:tc>
          <w:tcPr>
            <w:tcW w:w="7400" w:type="dxa"/>
            <w:vAlign w:val="bottom"/>
          </w:tcPr>
          <w:p>
            <w:pPr>
              <w:ind w:left="280"/>
              <w:spacing w:after="0"/>
              <w:rPr>
                <w:sz w:val="20"/>
                <w:szCs w:val="20"/>
                <w:color w:val="auto"/>
              </w:rPr>
            </w:pPr>
            <w:r>
              <w:rPr>
                <w:rFonts w:ascii="Arial" w:cs="Arial" w:eastAsia="Arial" w:hAnsi="Arial"/>
                <w:sz w:val="12"/>
                <w:szCs w:val="12"/>
                <w:color w:val="auto"/>
              </w:rPr>
              <w:t>Travel</w:t>
            </w:r>
          </w:p>
        </w:tc>
        <w:tc>
          <w:tcPr>
            <w:tcW w:w="8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162"/>
        </w:trPr>
        <w:tc>
          <w:tcPr>
            <w:tcW w:w="74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Advertising, marketing and public relations</w:t>
            </w: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w:t>
            </w:r>
          </w:p>
        </w:tc>
      </w:tr>
      <w:tr>
        <w:trPr>
          <w:trHeight w:val="156"/>
        </w:trPr>
        <w:tc>
          <w:tcPr>
            <w:tcW w:w="7400" w:type="dxa"/>
            <w:vAlign w:val="bottom"/>
          </w:tcPr>
          <w:p>
            <w:pPr>
              <w:ind w:left="280"/>
              <w:spacing w:after="0"/>
              <w:rPr>
                <w:sz w:val="20"/>
                <w:szCs w:val="20"/>
                <w:color w:val="auto"/>
              </w:rPr>
            </w:pPr>
            <w:r>
              <w:rPr>
                <w:rFonts w:ascii="Arial" w:cs="Arial" w:eastAsia="Arial" w:hAnsi="Arial"/>
                <w:sz w:val="12"/>
                <w:szCs w:val="12"/>
                <w:color w:val="auto"/>
              </w:rPr>
              <w:t>Information technology and communications</w:t>
            </w:r>
          </w:p>
        </w:tc>
        <w:tc>
          <w:tcPr>
            <w:tcW w:w="8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2"/>
                <w:szCs w:val="12"/>
                <w:color w:val="auto"/>
              </w:rPr>
              <w:t>708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2,223</w:t>
            </w:r>
          </w:p>
        </w:tc>
      </w:tr>
      <w:tr>
        <w:trPr>
          <w:trHeight w:val="162"/>
        </w:trPr>
        <w:tc>
          <w:tcPr>
            <w:tcW w:w="74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Depreciation and amortization</w:t>
            </w: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r>
      <w:tr>
        <w:trPr>
          <w:trHeight w:val="156"/>
        </w:trPr>
        <w:tc>
          <w:tcPr>
            <w:tcW w:w="7400" w:type="dxa"/>
            <w:vAlign w:val="bottom"/>
          </w:tcPr>
          <w:p>
            <w:pPr>
              <w:ind w:left="280"/>
              <w:spacing w:after="0"/>
              <w:rPr>
                <w:sz w:val="20"/>
                <w:szCs w:val="20"/>
                <w:color w:val="auto"/>
              </w:rPr>
            </w:pPr>
            <w:r>
              <w:rPr>
                <w:rFonts w:ascii="Arial" w:cs="Arial" w:eastAsia="Arial" w:hAnsi="Arial"/>
                <w:sz w:val="12"/>
                <w:szCs w:val="12"/>
                <w:color w:val="auto"/>
              </w:rPr>
              <w:t>Occupancy</w:t>
            </w:r>
          </w:p>
        </w:tc>
        <w:tc>
          <w:tcPr>
            <w:tcW w:w="8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2"/>
                <w:szCs w:val="12"/>
                <w:color w:val="auto"/>
              </w:rPr>
              <w:t>136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375</w:t>
            </w:r>
          </w:p>
        </w:tc>
      </w:tr>
      <w:tr>
        <w:trPr>
          <w:trHeight w:val="162"/>
        </w:trPr>
        <w:tc>
          <w:tcPr>
            <w:tcW w:w="74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Insurance</w:t>
            </w: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w:t>
            </w:r>
          </w:p>
        </w:tc>
      </w:tr>
      <w:tr>
        <w:trPr>
          <w:trHeight w:val="156"/>
        </w:trPr>
        <w:tc>
          <w:tcPr>
            <w:tcW w:w="7400" w:type="dxa"/>
            <w:vAlign w:val="bottom"/>
          </w:tcPr>
          <w:p>
            <w:pPr>
              <w:ind w:left="280"/>
              <w:spacing w:after="0"/>
              <w:rPr>
                <w:sz w:val="20"/>
                <w:szCs w:val="20"/>
                <w:color w:val="auto"/>
              </w:rPr>
            </w:pPr>
            <w:r>
              <w:rPr>
                <w:rFonts w:ascii="Arial" w:cs="Arial" w:eastAsia="Arial" w:hAnsi="Arial"/>
                <w:sz w:val="12"/>
                <w:szCs w:val="12"/>
                <w:color w:val="auto"/>
              </w:rPr>
              <w:t>State margin tax</w:t>
            </w:r>
          </w:p>
        </w:tc>
        <w:tc>
          <w:tcPr>
            <w:tcW w:w="8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2"/>
                <w:szCs w:val="12"/>
                <w:color w:val="auto"/>
              </w:rPr>
              <w:t>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162"/>
        </w:trPr>
        <w:tc>
          <w:tcPr>
            <w:tcW w:w="74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Other general and administrative</w:t>
            </w:r>
          </w:p>
        </w:tc>
        <w:tc>
          <w:tcPr>
            <w:tcW w:w="8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309</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949</w:t>
            </w:r>
          </w:p>
        </w:tc>
      </w:tr>
      <w:tr>
        <w:trPr>
          <w:trHeight w:val="147"/>
        </w:trPr>
        <w:tc>
          <w:tcPr>
            <w:tcW w:w="7400" w:type="dxa"/>
            <w:vAlign w:val="bottom"/>
            <w:tcBorders>
              <w:bottom w:val="single" w:sz="8" w:color="CCEEFF"/>
            </w:tcBorders>
          </w:tcPr>
          <w:p>
            <w:pPr>
              <w:ind w:left="680"/>
              <w:spacing w:after="0" w:line="133" w:lineRule="exact"/>
              <w:rPr>
                <w:sz w:val="20"/>
                <w:szCs w:val="20"/>
                <w:color w:val="auto"/>
              </w:rPr>
            </w:pPr>
            <w:r>
              <w:rPr>
                <w:rFonts w:ascii="Arial" w:cs="Arial" w:eastAsia="Arial" w:hAnsi="Arial"/>
                <w:sz w:val="12"/>
                <w:szCs w:val="12"/>
                <w:color w:val="auto"/>
              </w:rPr>
              <w:t>Total expenses</w:t>
            </w:r>
          </w:p>
        </w:tc>
        <w:tc>
          <w:tcPr>
            <w:tcW w:w="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6,690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22,266</w:t>
            </w:r>
          </w:p>
        </w:tc>
      </w:tr>
      <w:tr>
        <w:trPr>
          <w:trHeight w:val="153"/>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operating income</w:t>
            </w:r>
          </w:p>
        </w:tc>
        <w:tc>
          <w:tcPr>
            <w:tcW w:w="80" w:type="dxa"/>
            <w:vAlign w:val="bottom"/>
            <w:tcBorders>
              <w:bottom w:val="single" w:sz="8" w:color="auto"/>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580</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845</w:t>
            </w:r>
          </w:p>
        </w:tc>
      </w:tr>
      <w:tr>
        <w:trPr>
          <w:trHeight w:val="147"/>
        </w:trPr>
        <w:tc>
          <w:tcPr>
            <w:tcW w:w="7400" w:type="dxa"/>
            <w:vAlign w:val="bottom"/>
          </w:tcPr>
          <w:p>
            <w:pPr>
              <w:ind w:left="280"/>
              <w:spacing w:after="0" w:line="133" w:lineRule="exact"/>
              <w:rPr>
                <w:sz w:val="20"/>
                <w:szCs w:val="20"/>
                <w:color w:val="auto"/>
              </w:rPr>
            </w:pPr>
            <w:r>
              <w:rPr>
                <w:rFonts w:ascii="Arial" w:cs="Arial" w:eastAsia="Arial" w:hAnsi="Arial"/>
                <w:sz w:val="12"/>
                <w:szCs w:val="12"/>
                <w:color w:val="auto"/>
              </w:rPr>
              <w:t>Debt modification expense</w:t>
            </w:r>
          </w:p>
        </w:tc>
        <w:tc>
          <w:tcPr>
            <w:tcW w:w="80" w:type="dxa"/>
            <w:vAlign w:val="bottom"/>
          </w:tcPr>
          <w:p>
            <w:pPr>
              <w:spacing w:after="0"/>
              <w:rPr>
                <w:sz w:val="12"/>
                <w:szCs w:val="12"/>
                <w:color w:val="auto"/>
              </w:rPr>
            </w:pPr>
          </w:p>
        </w:tc>
        <w:tc>
          <w:tcPr>
            <w:tcW w:w="1820" w:type="dxa"/>
            <w:vAlign w:val="bottom"/>
          </w:tcPr>
          <w:p>
            <w:pPr>
              <w:jc w:val="right"/>
              <w:spacing w:after="0"/>
              <w:rPr>
                <w:sz w:val="20"/>
                <w:szCs w:val="20"/>
                <w:color w:val="auto"/>
              </w:rPr>
            </w:pPr>
            <w:r>
              <w:rPr>
                <w:rFonts w:ascii="Arial" w:cs="Arial" w:eastAsia="Arial" w:hAnsi="Arial"/>
                <w:sz w:val="12"/>
                <w:szCs w:val="12"/>
                <w:color w:val="auto"/>
              </w:rPr>
              <w:t>(86)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(298)</w:t>
            </w:r>
          </w:p>
        </w:tc>
      </w:tr>
      <w:tr>
        <w:trPr>
          <w:trHeight w:val="162"/>
        </w:trPr>
        <w:tc>
          <w:tcPr>
            <w:tcW w:w="74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Interest expense</w:t>
            </w: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w:t>
            </w:r>
          </w:p>
        </w:tc>
      </w:tr>
      <w:tr>
        <w:trPr>
          <w:trHeight w:val="156"/>
        </w:trPr>
        <w:tc>
          <w:tcPr>
            <w:tcW w:w="7400" w:type="dxa"/>
            <w:vAlign w:val="bottom"/>
          </w:tcPr>
          <w:p>
            <w:pPr>
              <w:ind w:left="280"/>
              <w:spacing w:after="0"/>
              <w:rPr>
                <w:sz w:val="20"/>
                <w:szCs w:val="20"/>
                <w:color w:val="auto"/>
              </w:rPr>
            </w:pPr>
            <w:r>
              <w:rPr>
                <w:rFonts w:ascii="Arial" w:cs="Arial" w:eastAsia="Arial" w:hAnsi="Arial"/>
                <w:sz w:val="12"/>
                <w:szCs w:val="12"/>
                <w:color w:val="auto"/>
              </w:rPr>
              <w:t>Restructuring expense</w:t>
            </w:r>
          </w:p>
        </w:tc>
        <w:tc>
          <w:tcPr>
            <w:tcW w:w="8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2"/>
                <w:szCs w:val="12"/>
                <w:color w:val="auto"/>
              </w:rPr>
              <w:t>(250)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(1,750)</w:t>
            </w:r>
          </w:p>
        </w:tc>
      </w:tr>
      <w:tr>
        <w:trPr>
          <w:trHeight w:val="162"/>
        </w:trPr>
        <w:tc>
          <w:tcPr>
            <w:tcW w:w="74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Equity in earnings of unconsolidated affiliates, net</w:t>
            </w: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899</w:t>
            </w:r>
          </w:p>
        </w:tc>
      </w:tr>
      <w:tr>
        <w:trPr>
          <w:trHeight w:val="156"/>
        </w:trPr>
        <w:tc>
          <w:tcPr>
            <w:tcW w:w="7400" w:type="dxa"/>
            <w:vAlign w:val="bottom"/>
          </w:tcPr>
          <w:p>
            <w:pPr>
              <w:ind w:left="280"/>
              <w:spacing w:after="0"/>
              <w:rPr>
                <w:sz w:val="20"/>
                <w:szCs w:val="20"/>
                <w:color w:val="auto"/>
              </w:rPr>
            </w:pPr>
            <w:r>
              <w:rPr>
                <w:rFonts w:ascii="Arial" w:cs="Arial" w:eastAsia="Arial" w:hAnsi="Arial"/>
                <w:sz w:val="12"/>
                <w:szCs w:val="12"/>
                <w:color w:val="auto"/>
              </w:rPr>
              <w:t>Interest and dividend income</w:t>
            </w:r>
          </w:p>
        </w:tc>
        <w:tc>
          <w:tcPr>
            <w:tcW w:w="8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62"/>
        </w:trPr>
        <w:tc>
          <w:tcPr>
            <w:tcW w:w="74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Other expense, net</w:t>
            </w:r>
          </w:p>
        </w:tc>
        <w:tc>
          <w:tcPr>
            <w:tcW w:w="8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(352)</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(1,479)</w:t>
            </w:r>
          </w:p>
        </w:tc>
      </w:tr>
      <w:tr>
        <w:trPr>
          <w:trHeight w:val="129"/>
        </w:trPr>
        <w:tc>
          <w:tcPr>
            <w:tcW w:w="74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Net loss</w:t>
            </w: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89"/>
              </w:rPr>
              <w:t>$</w:t>
            </w:r>
          </w:p>
        </w:tc>
        <w:tc>
          <w:tcPr>
            <w:tcW w:w="1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(176)</w:t>
            </w:r>
          </w:p>
        </w:tc>
        <w:tc>
          <w:tcPr>
            <w:tcW w:w="8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2"/>
                <w:szCs w:val="12"/>
                <w:color w:val="auto"/>
                <w:w w:val="89"/>
              </w:rPr>
              <w:t>$</w:t>
            </w:r>
          </w:p>
        </w:tc>
        <w:tc>
          <w:tcPr>
            <w:tcW w:w="1800" w:type="dxa"/>
            <w:vAlign w:val="bottom"/>
          </w:tcPr>
          <w:p>
            <w:pPr>
              <w:jc w:val="right"/>
              <w:spacing w:after="0" w:line="129" w:lineRule="exact"/>
              <w:rPr>
                <w:sz w:val="20"/>
                <w:szCs w:val="20"/>
                <w:color w:val="auto"/>
              </w:rPr>
            </w:pPr>
            <w:r>
              <w:rPr>
                <w:rFonts w:ascii="Arial" w:cs="Arial" w:eastAsia="Arial" w:hAnsi="Arial"/>
                <w:sz w:val="12"/>
                <w:szCs w:val="12"/>
                <w:color w:val="auto"/>
              </w:rPr>
              <w:t>(2,901)</w:t>
            </w:r>
          </w:p>
        </w:tc>
      </w:tr>
      <w:tr>
        <w:trPr>
          <w:trHeight w:val="45"/>
        </w:trPr>
        <w:tc>
          <w:tcPr>
            <w:tcW w:w="7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144"/>
        </w:trPr>
        <w:tc>
          <w:tcPr>
            <w:tcW w:w="7400" w:type="dxa"/>
            <w:vAlign w:val="bottom"/>
            <w:tcBorders>
              <w:top w:val="single" w:sz="8" w:color="CCEEFF"/>
              <w:bottom w:val="single" w:sz="8" w:color="CCEEFF"/>
            </w:tcBorders>
            <w:shd w:val="clear" w:color="auto" w:fill="CCEEFF"/>
          </w:tcPr>
          <w:p>
            <w:pPr>
              <w:ind w:left="20"/>
              <w:spacing w:after="0" w:line="117" w:lineRule="exact"/>
              <w:rPr>
                <w:sz w:val="20"/>
                <w:szCs w:val="20"/>
                <w:color w:val="auto"/>
              </w:rPr>
            </w:pPr>
            <w:r>
              <w:rPr>
                <w:rFonts w:ascii="Arial" w:cs="Arial" w:eastAsia="Arial" w:hAnsi="Arial"/>
                <w:sz w:val="12"/>
                <w:szCs w:val="12"/>
                <w:b w:val="1"/>
                <w:bCs w:val="1"/>
                <w:color w:val="auto"/>
              </w:rPr>
              <w:t>Total comprehensive loss</w:t>
            </w:r>
          </w:p>
        </w:tc>
        <w:tc>
          <w:tcPr>
            <w:tcW w:w="8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w w:val="89"/>
              </w:rPr>
              <w:t>$</w:t>
            </w:r>
          </w:p>
        </w:tc>
        <w:tc>
          <w:tcPr>
            <w:tcW w:w="182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(176)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w w:val="89"/>
              </w:rPr>
              <w:t>$</w:t>
            </w:r>
          </w:p>
        </w:tc>
        <w:tc>
          <w:tcPr>
            <w:tcW w:w="1800" w:type="dxa"/>
            <w:vAlign w:val="bottom"/>
            <w:tcBorders>
              <w:top w:val="single" w:sz="8" w:color="CCEEFF"/>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(2,901)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730" w:right="319" w:bottom="1440" w:gutter="0" w:footer="0" w:header="0"/>
        </w:sectPr>
      </w:pPr>
    </w:p>
    <w:bookmarkStart w:id="47" w:name="page48"/>
    <w:bookmarkEnd w:id="47"/>
    <w:p>
      <w:pPr>
        <w:jc w:val="center"/>
        <w:spacing w:after="0"/>
        <w:rPr>
          <w:sz w:val="20"/>
          <w:szCs w:val="20"/>
          <w:color w:val="auto"/>
        </w:rPr>
      </w:pPr>
      <w:r>
        <w:rPr>
          <w:rFonts w:ascii="Arial" w:cs="Arial" w:eastAsia="Arial" w:hAnsi="Arial"/>
          <w:sz w:val="14"/>
          <w:szCs w:val="14"/>
          <w:b w:val="1"/>
          <w:bCs w:val="1"/>
          <w:color w:val="auto"/>
        </w:rPr>
        <w:t>SALIENT PARTNERS,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PARTNERS'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Three and Nine Months Ended 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5"/>
          </w:tcPr>
          <w:p>
            <w:pPr>
              <w:ind w:left="480"/>
              <w:spacing w:after="0"/>
              <w:rPr>
                <w:sz w:val="20"/>
                <w:szCs w:val="20"/>
                <w:color w:val="auto"/>
              </w:rPr>
            </w:pPr>
            <w:r>
              <w:rPr>
                <w:rFonts w:ascii="Arial" w:cs="Arial" w:eastAsia="Arial" w:hAnsi="Arial"/>
                <w:sz w:val="12"/>
                <w:szCs w:val="12"/>
                <w:b w:val="1"/>
                <w:bCs w:val="1"/>
                <w:color w:val="auto"/>
              </w:rPr>
              <w:t>Partners' Capital (Deficit)</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5"/>
        </w:trPr>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General Partner</w:t>
            </w:r>
          </w:p>
        </w:tc>
        <w:tc>
          <w:tcPr>
            <w:tcW w:w="1200" w:type="dxa"/>
            <w:vAlign w:val="bottom"/>
            <w:tcBorders>
              <w:top w:val="single" w:sz="8" w:color="auto"/>
            </w:tcBorders>
            <w:gridSpan w:val="2"/>
          </w:tcPr>
          <w:p>
            <w:pPr>
              <w:ind w:left="360"/>
              <w:spacing w:after="0"/>
              <w:rPr>
                <w:sz w:val="20"/>
                <w:szCs w:val="20"/>
                <w:color w:val="auto"/>
              </w:rPr>
            </w:pPr>
            <w:r>
              <w:rPr>
                <w:rFonts w:ascii="Arial" w:cs="Arial" w:eastAsia="Arial" w:hAnsi="Arial"/>
                <w:sz w:val="12"/>
                <w:szCs w:val="12"/>
                <w:b w:val="1"/>
                <w:bCs w:val="1"/>
                <w:color w:val="auto"/>
              </w:rPr>
              <w:t>Class A</w:t>
            </w: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97"/>
              <w:spacing w:after="0"/>
              <w:rPr>
                <w:sz w:val="20"/>
                <w:szCs w:val="20"/>
                <w:color w:val="auto"/>
              </w:rPr>
            </w:pPr>
            <w:r>
              <w:rPr>
                <w:rFonts w:ascii="Arial" w:cs="Arial" w:eastAsia="Arial" w:hAnsi="Arial"/>
                <w:sz w:val="12"/>
                <w:szCs w:val="12"/>
                <w:b w:val="1"/>
                <w:bCs w:val="1"/>
                <w:color w:val="auto"/>
              </w:rPr>
              <w:t>Class B</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Limited Partners</w:t>
            </w:r>
          </w:p>
        </w:tc>
        <w:tc>
          <w:tcPr>
            <w:tcW w:w="240" w:type="dxa"/>
            <w:vAlign w:val="bottom"/>
          </w:tcPr>
          <w:p>
            <w:pPr>
              <w:spacing w:after="0"/>
              <w:rPr>
                <w:sz w:val="13"/>
                <w:szCs w:val="13"/>
                <w:color w:val="auto"/>
              </w:rPr>
            </w:pPr>
          </w:p>
        </w:tc>
        <w:tc>
          <w:tcPr>
            <w:tcW w:w="860" w:type="dxa"/>
            <w:vAlign w:val="bottom"/>
          </w:tcPr>
          <w:p>
            <w:pPr>
              <w:jc w:val="right"/>
              <w:ind w:right="357"/>
              <w:spacing w:after="0"/>
              <w:rPr>
                <w:sz w:val="20"/>
                <w:szCs w:val="20"/>
                <w:color w:val="auto"/>
              </w:rPr>
            </w:pPr>
            <w:r>
              <w:rPr>
                <w:rFonts w:ascii="Arial" w:cs="Arial" w:eastAsia="Arial" w:hAnsi="Arial"/>
                <w:sz w:val="12"/>
                <w:szCs w:val="12"/>
                <w:b w:val="1"/>
                <w:bCs w:val="1"/>
                <w:color w:val="auto"/>
              </w:rPr>
              <w:t>Total</w:t>
            </w:r>
          </w:p>
        </w:tc>
      </w:tr>
      <w:tr>
        <w:trPr>
          <w:trHeight w:val="161"/>
        </w:trPr>
        <w:tc>
          <w:tcPr>
            <w:tcW w:w="538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b w:val="1"/>
                <w:bCs w:val="1"/>
                <w:color w:val="auto"/>
              </w:rPr>
              <w:t>Balance, June 30,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176,293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(212,621)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(36,328)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(36,564)</w:t>
            </w:r>
          </w:p>
        </w:tc>
      </w:t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3,263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(176)</w:t>
            </w:r>
          </w:p>
        </w:tc>
      </w:tr>
      <w:tr>
        <w:trPr>
          <w:trHeight w:val="185"/>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September 30,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179,556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(216,060)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(36,504)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(36,740)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775"/>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5"/>
          </w:tcPr>
          <w:p>
            <w:pPr>
              <w:ind w:left="480"/>
              <w:spacing w:after="0"/>
              <w:rPr>
                <w:sz w:val="20"/>
                <w:szCs w:val="20"/>
                <w:color w:val="auto"/>
              </w:rPr>
            </w:pPr>
            <w:r>
              <w:rPr>
                <w:rFonts w:ascii="Arial" w:cs="Arial" w:eastAsia="Arial" w:hAnsi="Arial"/>
                <w:sz w:val="12"/>
                <w:szCs w:val="12"/>
                <w:b w:val="1"/>
                <w:bCs w:val="1"/>
                <w:color w:val="auto"/>
              </w:rPr>
              <w:t>Partners' Capital (Deficit)</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55"/>
        </w:trPr>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General Partner</w:t>
            </w:r>
          </w:p>
        </w:tc>
        <w:tc>
          <w:tcPr>
            <w:tcW w:w="1200" w:type="dxa"/>
            <w:vAlign w:val="bottom"/>
            <w:tcBorders>
              <w:top w:val="single" w:sz="8" w:color="auto"/>
            </w:tcBorders>
            <w:gridSpan w:val="2"/>
          </w:tcPr>
          <w:p>
            <w:pPr>
              <w:ind w:left="360"/>
              <w:spacing w:after="0"/>
              <w:rPr>
                <w:sz w:val="20"/>
                <w:szCs w:val="20"/>
                <w:color w:val="auto"/>
              </w:rPr>
            </w:pPr>
            <w:r>
              <w:rPr>
                <w:rFonts w:ascii="Arial" w:cs="Arial" w:eastAsia="Arial" w:hAnsi="Arial"/>
                <w:sz w:val="12"/>
                <w:szCs w:val="12"/>
                <w:b w:val="1"/>
                <w:bCs w:val="1"/>
                <w:color w:val="auto"/>
              </w:rPr>
              <w:t>Class A</w:t>
            </w: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97"/>
              <w:spacing w:after="0"/>
              <w:rPr>
                <w:sz w:val="20"/>
                <w:szCs w:val="20"/>
                <w:color w:val="auto"/>
              </w:rPr>
            </w:pPr>
            <w:r>
              <w:rPr>
                <w:rFonts w:ascii="Arial" w:cs="Arial" w:eastAsia="Arial" w:hAnsi="Arial"/>
                <w:sz w:val="12"/>
                <w:szCs w:val="12"/>
                <w:b w:val="1"/>
                <w:bCs w:val="1"/>
                <w:color w:val="auto"/>
              </w:rPr>
              <w:t>Class B</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Limited Partners</w:t>
            </w:r>
          </w:p>
        </w:tc>
        <w:tc>
          <w:tcPr>
            <w:tcW w:w="240" w:type="dxa"/>
            <w:vAlign w:val="bottom"/>
          </w:tcPr>
          <w:p>
            <w:pPr>
              <w:spacing w:after="0"/>
              <w:rPr>
                <w:sz w:val="13"/>
                <w:szCs w:val="13"/>
                <w:color w:val="auto"/>
              </w:rPr>
            </w:pPr>
          </w:p>
        </w:tc>
        <w:tc>
          <w:tcPr>
            <w:tcW w:w="860" w:type="dxa"/>
            <w:vAlign w:val="bottom"/>
          </w:tcPr>
          <w:p>
            <w:pPr>
              <w:jc w:val="right"/>
              <w:ind w:right="357"/>
              <w:spacing w:after="0"/>
              <w:rPr>
                <w:sz w:val="20"/>
                <w:szCs w:val="20"/>
                <w:color w:val="auto"/>
              </w:rPr>
            </w:pPr>
            <w:r>
              <w:rPr>
                <w:rFonts w:ascii="Arial" w:cs="Arial" w:eastAsia="Arial" w:hAnsi="Arial"/>
                <w:sz w:val="12"/>
                <w:szCs w:val="12"/>
                <w:b w:val="1"/>
                <w:bCs w:val="1"/>
                <w:color w:val="auto"/>
              </w:rPr>
              <w:t>Total</w:t>
            </w:r>
          </w:p>
        </w:tc>
      </w:tr>
      <w:tr>
        <w:trPr>
          <w:trHeight w:val="161"/>
        </w:trPr>
        <w:tc>
          <w:tcPr>
            <w:tcW w:w="538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b w:val="1"/>
                <w:bCs w:val="1"/>
                <w:color w:val="auto"/>
              </w:rPr>
              <w:t>Balance,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169,765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(203,368)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(33,603)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(33,839)</w:t>
            </w:r>
          </w:p>
        </w:tc>
      </w:t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9,791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(12,692)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(2,901)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(2,901)</w:t>
            </w:r>
          </w:p>
        </w:tc>
      </w:tr>
      <w:tr>
        <w:trPr>
          <w:trHeight w:val="185"/>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September 30,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179,556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(216,060)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(36,504)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(36,740)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730" w:right="31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20" w:type="dxa"/>
            <w:vAlign w:val="bottom"/>
          </w:tcPr>
          <w:p>
            <w:pPr>
              <w:jc w:val="center"/>
              <w:ind w:left="1702"/>
              <w:spacing w:after="0"/>
              <w:rPr>
                <w:sz w:val="20"/>
                <w:szCs w:val="20"/>
                <w:color w:val="auto"/>
              </w:rPr>
            </w:pPr>
            <w:r>
              <w:rPr>
                <w:rFonts w:ascii="Arial" w:cs="Arial" w:eastAsia="Arial" w:hAnsi="Arial"/>
                <w:sz w:val="14"/>
                <w:szCs w:val="14"/>
                <w:b w:val="1"/>
                <w:bCs w:val="1"/>
                <w:color w:val="auto"/>
                <w:w w:val="98"/>
              </w:rPr>
              <w:t>SALIENT PARTNERS, L.P. AND SUBSIDIARIES</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9120" w:type="dxa"/>
            <w:vAlign w:val="bottom"/>
          </w:tcPr>
          <w:p>
            <w:pPr>
              <w:jc w:val="center"/>
              <w:ind w:left="1702"/>
              <w:spacing w:after="0"/>
              <w:rPr>
                <w:sz w:val="20"/>
                <w:szCs w:val="20"/>
                <w:color w:val="auto"/>
              </w:rPr>
            </w:pPr>
            <w:r>
              <w:rPr>
                <w:rFonts w:ascii="Arial" w:cs="Arial" w:eastAsia="Arial" w:hAnsi="Arial"/>
                <w:sz w:val="14"/>
                <w:szCs w:val="14"/>
                <w:b w:val="1"/>
                <w:bCs w:val="1"/>
                <w:color w:val="auto"/>
                <w:w w:val="99"/>
              </w:rPr>
              <w:t>CONDENSED CONSOLIDATED STATEMENT OF CASH FLOWS</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9120" w:type="dxa"/>
            <w:vAlign w:val="bottom"/>
          </w:tcPr>
          <w:p>
            <w:pPr>
              <w:jc w:val="center"/>
              <w:ind w:left="1702"/>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84"/>
        </w:trPr>
        <w:tc>
          <w:tcPr>
            <w:tcW w:w="9120" w:type="dxa"/>
            <w:vAlign w:val="bottom"/>
          </w:tcPr>
          <w:p>
            <w:pPr>
              <w:jc w:val="center"/>
              <w:ind w:left="1702"/>
              <w:spacing w:after="0"/>
              <w:rPr>
                <w:sz w:val="20"/>
                <w:szCs w:val="20"/>
                <w:color w:val="auto"/>
              </w:rPr>
            </w:pPr>
            <w:r>
              <w:rPr>
                <w:rFonts w:ascii="Arial" w:cs="Arial" w:eastAsia="Arial" w:hAnsi="Arial"/>
                <w:sz w:val="14"/>
                <w:szCs w:val="14"/>
                <w:b w:val="1"/>
                <w:bCs w:val="1"/>
                <w:color w:val="auto"/>
                <w:w w:val="92"/>
              </w:rPr>
              <w:t>(Unaudited)</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38"/>
        </w:trPr>
        <w:tc>
          <w:tcPr>
            <w:tcW w:w="9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23"/>
              <w:spacing w:after="0"/>
              <w:rPr>
                <w:sz w:val="20"/>
                <w:szCs w:val="20"/>
                <w:color w:val="auto"/>
              </w:rPr>
            </w:pPr>
            <w:r>
              <w:rPr>
                <w:rFonts w:ascii="Arial" w:cs="Arial" w:eastAsia="Arial" w:hAnsi="Arial"/>
                <w:sz w:val="12"/>
                <w:szCs w:val="12"/>
                <w:b w:val="1"/>
                <w:bCs w:val="1"/>
                <w:color w:val="auto"/>
                <w:w w:val="89"/>
              </w:rPr>
              <w:t>Nine Months Ended September</w:t>
            </w:r>
          </w:p>
        </w:tc>
      </w:tr>
      <w:tr>
        <w:trPr>
          <w:trHeight w:val="163"/>
        </w:trPr>
        <w:tc>
          <w:tcPr>
            <w:tcW w:w="9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03"/>
              <w:spacing w:after="0"/>
              <w:rPr>
                <w:sz w:val="20"/>
                <w:szCs w:val="20"/>
                <w:color w:val="auto"/>
              </w:rPr>
            </w:pPr>
            <w:r>
              <w:rPr>
                <w:rFonts w:ascii="Arial" w:cs="Arial" w:eastAsia="Arial" w:hAnsi="Arial"/>
                <w:sz w:val="12"/>
                <w:szCs w:val="12"/>
                <w:b w:val="1"/>
                <w:bCs w:val="1"/>
                <w:color w:val="auto"/>
              </w:rPr>
              <w:t>30, 2022</w:t>
            </w:r>
          </w:p>
        </w:tc>
      </w:tr>
      <w:tr>
        <w:trPr>
          <w:trHeight w:val="145"/>
        </w:trPr>
        <w:tc>
          <w:tcPr>
            <w:tcW w:w="91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52"/>
        </w:trPr>
        <w:tc>
          <w:tcPr>
            <w:tcW w:w="9120" w:type="dxa"/>
            <w:vAlign w:val="bottom"/>
          </w:tcPr>
          <w:p>
            <w:pPr>
              <w:ind w:left="280"/>
              <w:spacing w:after="0"/>
              <w:rPr>
                <w:sz w:val="20"/>
                <w:szCs w:val="20"/>
                <w:color w:val="auto"/>
              </w:rPr>
            </w:pPr>
            <w:r>
              <w:rPr>
                <w:rFonts w:ascii="Arial" w:cs="Arial" w:eastAsia="Arial" w:hAnsi="Arial"/>
                <w:sz w:val="11"/>
                <w:szCs w:val="11"/>
                <w:color w:val="auto"/>
              </w:rPr>
              <w:t>Net loss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680" w:type="dxa"/>
            <w:vAlign w:val="bottom"/>
          </w:tcPr>
          <w:p>
            <w:pPr>
              <w:jc w:val="right"/>
              <w:spacing w:after="0"/>
              <w:rPr>
                <w:sz w:val="20"/>
                <w:szCs w:val="20"/>
                <w:color w:val="auto"/>
              </w:rPr>
            </w:pPr>
            <w:r>
              <w:rPr>
                <w:rFonts w:ascii="Arial" w:cs="Arial" w:eastAsia="Arial" w:hAnsi="Arial"/>
                <w:sz w:val="11"/>
                <w:szCs w:val="11"/>
                <w:color w:val="auto"/>
              </w:rPr>
              <w:t>(2,901)</w:t>
            </w:r>
          </w:p>
        </w:tc>
      </w:tr>
      <w:tr>
        <w:trPr>
          <w:trHeight w:val="166"/>
        </w:trPr>
        <w:tc>
          <w:tcPr>
            <w:tcW w:w="91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Adjustments to reconcile net loss to net cash provided by operating activities:</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52"/>
        </w:trPr>
        <w:tc>
          <w:tcPr>
            <w:tcW w:w="9120" w:type="dxa"/>
            <w:vAlign w:val="bottom"/>
          </w:tcPr>
          <w:p>
            <w:pPr>
              <w:ind w:left="520"/>
              <w:spacing w:after="0"/>
              <w:rPr>
                <w:sz w:val="20"/>
                <w:szCs w:val="20"/>
                <w:color w:val="auto"/>
              </w:rPr>
            </w:pPr>
            <w:r>
              <w:rPr>
                <w:rFonts w:ascii="Arial" w:cs="Arial" w:eastAsia="Arial" w:hAnsi="Arial"/>
                <w:sz w:val="11"/>
                <w:szCs w:val="11"/>
                <w:color w:val="auto"/>
              </w:rPr>
              <w:t>Depreciation and amortization</w:t>
            </w:r>
          </w:p>
        </w:tc>
        <w:tc>
          <w:tcPr>
            <w:tcW w:w="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61</w:t>
            </w:r>
          </w:p>
        </w:tc>
      </w:tr>
      <w:tr>
        <w:trPr>
          <w:trHeight w:val="166"/>
        </w:trPr>
        <w:tc>
          <w:tcPr>
            <w:tcW w:w="9120" w:type="dxa"/>
            <w:vAlign w:val="bottom"/>
            <w:shd w:val="clear" w:color="auto" w:fill="CCEEFF"/>
          </w:tcPr>
          <w:p>
            <w:pPr>
              <w:ind w:left="520"/>
              <w:spacing w:after="0"/>
              <w:rPr>
                <w:sz w:val="20"/>
                <w:szCs w:val="20"/>
                <w:color w:val="auto"/>
              </w:rPr>
            </w:pPr>
            <w:r>
              <w:rPr>
                <w:rFonts w:ascii="Arial" w:cs="Arial" w:eastAsia="Arial" w:hAnsi="Arial"/>
                <w:sz w:val="11"/>
                <w:szCs w:val="11"/>
                <w:color w:val="auto"/>
              </w:rPr>
              <w:t>Accretion of senior debt, subordinated debt and interest paid-in-kind on subordinated debt</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w:t>
            </w:r>
          </w:p>
        </w:tc>
      </w:tr>
      <w:tr>
        <w:trPr>
          <w:trHeight w:val="152"/>
        </w:trPr>
        <w:tc>
          <w:tcPr>
            <w:tcW w:w="9120" w:type="dxa"/>
            <w:vAlign w:val="bottom"/>
          </w:tcPr>
          <w:p>
            <w:pPr>
              <w:ind w:left="520"/>
              <w:spacing w:after="0"/>
              <w:rPr>
                <w:sz w:val="20"/>
                <w:szCs w:val="20"/>
                <w:color w:val="auto"/>
              </w:rPr>
            </w:pPr>
            <w:r>
              <w:rPr>
                <w:rFonts w:ascii="Arial" w:cs="Arial" w:eastAsia="Arial" w:hAnsi="Arial"/>
                <w:sz w:val="11"/>
                <w:szCs w:val="11"/>
                <w:color w:val="auto"/>
              </w:rPr>
              <w:t>Noncash restructuring fee</w:t>
            </w:r>
          </w:p>
        </w:tc>
        <w:tc>
          <w:tcPr>
            <w:tcW w:w="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1,750</w:t>
            </w:r>
          </w:p>
        </w:tc>
      </w:tr>
      <w:tr>
        <w:trPr>
          <w:trHeight w:val="166"/>
        </w:trPr>
        <w:tc>
          <w:tcPr>
            <w:tcW w:w="9120" w:type="dxa"/>
            <w:vAlign w:val="bottom"/>
            <w:shd w:val="clear" w:color="auto" w:fill="CCEEFF"/>
          </w:tcPr>
          <w:p>
            <w:pPr>
              <w:ind w:left="520"/>
              <w:spacing w:after="0"/>
              <w:rPr>
                <w:sz w:val="20"/>
                <w:szCs w:val="20"/>
                <w:color w:val="auto"/>
              </w:rPr>
            </w:pPr>
            <w:r>
              <w:rPr>
                <w:rFonts w:ascii="Arial" w:cs="Arial" w:eastAsia="Arial" w:hAnsi="Arial"/>
                <w:sz w:val="11"/>
                <w:szCs w:val="11"/>
                <w:color w:val="auto"/>
              </w:rPr>
              <w:t>Unrealized (gain) loss on other investments</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52"/>
        </w:trPr>
        <w:tc>
          <w:tcPr>
            <w:tcW w:w="9120" w:type="dxa"/>
            <w:vAlign w:val="bottom"/>
          </w:tcPr>
          <w:p>
            <w:pPr>
              <w:ind w:left="520"/>
              <w:spacing w:after="0"/>
              <w:rPr>
                <w:sz w:val="20"/>
                <w:szCs w:val="20"/>
                <w:color w:val="auto"/>
              </w:rPr>
            </w:pPr>
            <w:r>
              <w:rPr>
                <w:rFonts w:ascii="Arial" w:cs="Arial" w:eastAsia="Arial" w:hAnsi="Arial"/>
                <w:sz w:val="11"/>
                <w:szCs w:val="11"/>
                <w:color w:val="auto"/>
              </w:rPr>
              <w:t>Equity in earnings of unconsolidated affiliates</w:t>
            </w:r>
          </w:p>
        </w:tc>
        <w:tc>
          <w:tcPr>
            <w:tcW w:w="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(899)</w:t>
            </w:r>
          </w:p>
        </w:tc>
      </w:tr>
      <w:tr>
        <w:trPr>
          <w:trHeight w:val="166"/>
        </w:trPr>
        <w:tc>
          <w:tcPr>
            <w:tcW w:w="9120" w:type="dxa"/>
            <w:vAlign w:val="bottom"/>
            <w:shd w:val="clear" w:color="auto" w:fill="CCEEFF"/>
          </w:tcPr>
          <w:p>
            <w:pPr>
              <w:ind w:left="520"/>
              <w:spacing w:after="0"/>
              <w:rPr>
                <w:sz w:val="20"/>
                <w:szCs w:val="20"/>
                <w:color w:val="auto"/>
              </w:rPr>
            </w:pPr>
            <w:r>
              <w:rPr>
                <w:rFonts w:ascii="Arial" w:cs="Arial" w:eastAsia="Arial" w:hAnsi="Arial"/>
                <w:sz w:val="11"/>
                <w:szCs w:val="11"/>
                <w:color w:val="auto"/>
              </w:rPr>
              <w:t>Debt modification costs</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w:t>
            </w:r>
          </w:p>
        </w:tc>
      </w:tr>
      <w:tr>
        <w:trPr>
          <w:trHeight w:val="152"/>
        </w:trPr>
        <w:tc>
          <w:tcPr>
            <w:tcW w:w="9120" w:type="dxa"/>
            <w:vAlign w:val="bottom"/>
          </w:tcPr>
          <w:p>
            <w:pPr>
              <w:ind w:left="520"/>
              <w:spacing w:after="0"/>
              <w:rPr>
                <w:sz w:val="20"/>
                <w:szCs w:val="20"/>
                <w:color w:val="auto"/>
              </w:rPr>
            </w:pPr>
            <w:r>
              <w:rPr>
                <w:rFonts w:ascii="Arial" w:cs="Arial" w:eastAsia="Arial" w:hAnsi="Arial"/>
                <w:sz w:val="11"/>
                <w:szCs w:val="11"/>
                <w:color w:val="auto"/>
              </w:rPr>
              <w:t>Non-cash dividends received and reinvested</w:t>
            </w:r>
          </w:p>
        </w:tc>
        <w:tc>
          <w:tcPr>
            <w:tcW w:w="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66"/>
        </w:trPr>
        <w:tc>
          <w:tcPr>
            <w:tcW w:w="91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Change in operating assets and liabilities:</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52"/>
        </w:trPr>
        <w:tc>
          <w:tcPr>
            <w:tcW w:w="9120" w:type="dxa"/>
            <w:vAlign w:val="bottom"/>
          </w:tcPr>
          <w:p>
            <w:pPr>
              <w:ind w:left="520"/>
              <w:spacing w:after="0"/>
              <w:rPr>
                <w:sz w:val="20"/>
                <w:szCs w:val="20"/>
                <w:color w:val="auto"/>
              </w:rPr>
            </w:pPr>
            <w:r>
              <w:rPr>
                <w:rFonts w:ascii="Arial" w:cs="Arial" w:eastAsia="Arial" w:hAnsi="Arial"/>
                <w:sz w:val="11"/>
                <w:szCs w:val="11"/>
                <w:color w:val="auto"/>
              </w:rPr>
              <w:t>Accounts receivable</w:t>
            </w:r>
          </w:p>
        </w:tc>
        <w:tc>
          <w:tcPr>
            <w:tcW w:w="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550</w:t>
            </w:r>
          </w:p>
        </w:tc>
      </w:tr>
      <w:tr>
        <w:trPr>
          <w:trHeight w:val="166"/>
        </w:trPr>
        <w:tc>
          <w:tcPr>
            <w:tcW w:w="9120" w:type="dxa"/>
            <w:vAlign w:val="bottom"/>
            <w:shd w:val="clear" w:color="auto" w:fill="CCEEFF"/>
          </w:tcPr>
          <w:p>
            <w:pPr>
              <w:ind w:left="520"/>
              <w:spacing w:after="0"/>
              <w:rPr>
                <w:sz w:val="20"/>
                <w:szCs w:val="20"/>
                <w:color w:val="auto"/>
              </w:rPr>
            </w:pPr>
            <w:r>
              <w:rPr>
                <w:rFonts w:ascii="Arial" w:cs="Arial" w:eastAsia="Arial" w:hAnsi="Arial"/>
                <w:sz w:val="11"/>
                <w:szCs w:val="11"/>
                <w:color w:val="auto"/>
              </w:rPr>
              <w:t>Prepaid and other current assets</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w:t>
            </w:r>
          </w:p>
        </w:tc>
      </w:tr>
      <w:tr>
        <w:trPr>
          <w:trHeight w:val="152"/>
        </w:trPr>
        <w:tc>
          <w:tcPr>
            <w:tcW w:w="9120" w:type="dxa"/>
            <w:vAlign w:val="bottom"/>
          </w:tcPr>
          <w:p>
            <w:pPr>
              <w:ind w:left="520"/>
              <w:spacing w:after="0"/>
              <w:rPr>
                <w:sz w:val="20"/>
                <w:szCs w:val="20"/>
                <w:color w:val="auto"/>
              </w:rPr>
            </w:pPr>
            <w:r>
              <w:rPr>
                <w:rFonts w:ascii="Arial" w:cs="Arial" w:eastAsia="Arial" w:hAnsi="Arial"/>
                <w:sz w:val="11"/>
                <w:szCs w:val="11"/>
                <w:color w:val="auto"/>
              </w:rPr>
              <w:t>Accounts payable and accrued liabilities</w:t>
            </w:r>
          </w:p>
        </w:tc>
        <w:tc>
          <w:tcPr>
            <w:tcW w:w="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1,932</w:t>
            </w:r>
          </w:p>
        </w:tc>
      </w:tr>
      <w:tr>
        <w:trPr>
          <w:trHeight w:val="166"/>
        </w:trPr>
        <w:tc>
          <w:tcPr>
            <w:tcW w:w="9120" w:type="dxa"/>
            <w:vAlign w:val="bottom"/>
            <w:shd w:val="clear" w:color="auto" w:fill="CCEEFF"/>
          </w:tcPr>
          <w:p>
            <w:pPr>
              <w:ind w:left="520"/>
              <w:spacing w:after="0"/>
              <w:rPr>
                <w:sz w:val="20"/>
                <w:szCs w:val="20"/>
                <w:color w:val="auto"/>
              </w:rPr>
            </w:pPr>
            <w:r>
              <w:rPr>
                <w:rFonts w:ascii="Arial" w:cs="Arial" w:eastAsia="Arial" w:hAnsi="Arial"/>
                <w:sz w:val="11"/>
                <w:szCs w:val="11"/>
                <w:color w:val="auto"/>
              </w:rPr>
              <w:t>Accrued interest</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1,034</w:t>
            </w:r>
          </w:p>
        </w:tc>
      </w:tr>
      <w:tr>
        <w:trPr>
          <w:trHeight w:val="152"/>
        </w:trPr>
        <w:tc>
          <w:tcPr>
            <w:tcW w:w="9120" w:type="dxa"/>
            <w:vAlign w:val="bottom"/>
          </w:tcPr>
          <w:p>
            <w:pPr>
              <w:ind w:left="520"/>
              <w:spacing w:after="0"/>
              <w:rPr>
                <w:sz w:val="20"/>
                <w:szCs w:val="20"/>
                <w:color w:val="auto"/>
              </w:rPr>
            </w:pPr>
            <w:r>
              <w:rPr>
                <w:rFonts w:ascii="Arial" w:cs="Arial" w:eastAsia="Arial" w:hAnsi="Arial"/>
                <w:sz w:val="11"/>
                <w:szCs w:val="11"/>
                <w:color w:val="auto"/>
              </w:rPr>
              <w:t>Other liabilities</w:t>
            </w:r>
          </w:p>
        </w:tc>
        <w:tc>
          <w:tcPr>
            <w:tcW w:w="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(24)</w:t>
            </w:r>
          </w:p>
        </w:tc>
      </w:tr>
      <w:tr>
        <w:trPr>
          <w:trHeight w:val="166"/>
        </w:trPr>
        <w:tc>
          <w:tcPr>
            <w:tcW w:w="9120" w:type="dxa"/>
            <w:vAlign w:val="bottom"/>
            <w:shd w:val="clear" w:color="auto" w:fill="CCEEFF"/>
          </w:tcPr>
          <w:p>
            <w:pPr>
              <w:ind w:left="520"/>
              <w:spacing w:after="0"/>
              <w:rPr>
                <w:sz w:val="20"/>
                <w:szCs w:val="20"/>
                <w:color w:val="auto"/>
              </w:rPr>
            </w:pPr>
            <w:r>
              <w:rPr>
                <w:rFonts w:ascii="Arial" w:cs="Arial" w:eastAsia="Arial" w:hAnsi="Arial"/>
                <w:sz w:val="11"/>
                <w:szCs w:val="11"/>
                <w:color w:val="auto"/>
              </w:rPr>
              <w:t>State margin taxes payable</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r>
      <w:tr>
        <w:trPr>
          <w:trHeight w:val="152"/>
        </w:trPr>
        <w:tc>
          <w:tcPr>
            <w:tcW w:w="9120" w:type="dxa"/>
            <w:vAlign w:val="bottom"/>
            <w:tcBorders>
              <w:bottom w:val="single" w:sz="8" w:color="CCEEFF"/>
            </w:tcBorders>
          </w:tcPr>
          <w:p>
            <w:pPr>
              <w:ind w:left="520"/>
              <w:spacing w:after="0"/>
              <w:rPr>
                <w:sz w:val="20"/>
                <w:szCs w:val="20"/>
                <w:color w:val="auto"/>
              </w:rPr>
            </w:pPr>
            <w:r>
              <w:rPr>
                <w:rFonts w:ascii="Arial" w:cs="Arial" w:eastAsia="Arial" w:hAnsi="Arial"/>
                <w:sz w:val="11"/>
                <w:szCs w:val="11"/>
                <w:color w:val="auto"/>
              </w:rPr>
              <w:t>Compensation and benefits payable</w:t>
            </w: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965</w:t>
            </w:r>
          </w:p>
        </w:tc>
      </w:tr>
      <w:tr>
        <w:trPr>
          <w:trHeight w:val="157"/>
        </w:trPr>
        <w:tc>
          <w:tcPr>
            <w:tcW w:w="9120" w:type="dxa"/>
            <w:vAlign w:val="bottom"/>
            <w:shd w:val="clear" w:color="auto" w:fill="CCEEFF"/>
          </w:tcPr>
          <w:p>
            <w:pPr>
              <w:ind w:left="680"/>
              <w:spacing w:after="0"/>
              <w:rPr>
                <w:sz w:val="20"/>
                <w:szCs w:val="20"/>
                <w:color w:val="auto"/>
              </w:rPr>
            </w:pPr>
            <w:r>
              <w:rPr>
                <w:rFonts w:ascii="Arial" w:cs="Arial" w:eastAsia="Arial" w:hAnsi="Arial"/>
                <w:sz w:val="11"/>
                <w:szCs w:val="11"/>
                <w:color w:val="auto"/>
              </w:rPr>
              <w:t>Net cash provided by operating activities</w:t>
            </w:r>
          </w:p>
        </w:tc>
        <w:tc>
          <w:tcPr>
            <w:tcW w:w="8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2,678</w:t>
            </w:r>
          </w:p>
        </w:tc>
      </w:tr>
      <w:tr>
        <w:trPr>
          <w:trHeight w:val="133"/>
        </w:trPr>
        <w:tc>
          <w:tcPr>
            <w:tcW w:w="9120" w:type="dxa"/>
            <w:vAlign w:val="bottom"/>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65"/>
        </w:trPr>
        <w:tc>
          <w:tcPr>
            <w:tcW w:w="91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Purchase of property and equipment</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r>
      <w:tr>
        <w:trPr>
          <w:trHeight w:val="152"/>
        </w:trPr>
        <w:tc>
          <w:tcPr>
            <w:tcW w:w="9120" w:type="dxa"/>
            <w:vAlign w:val="bottom"/>
          </w:tcPr>
          <w:p>
            <w:pPr>
              <w:ind w:left="280"/>
              <w:spacing w:after="0"/>
              <w:rPr>
                <w:sz w:val="20"/>
                <w:szCs w:val="20"/>
                <w:color w:val="auto"/>
              </w:rPr>
            </w:pPr>
            <w:r>
              <w:rPr>
                <w:rFonts w:ascii="Arial" w:cs="Arial" w:eastAsia="Arial" w:hAnsi="Arial"/>
                <w:sz w:val="11"/>
                <w:szCs w:val="11"/>
                <w:color w:val="auto"/>
              </w:rPr>
              <w:t>Purchase of investments in AFS</w:t>
            </w:r>
          </w:p>
        </w:tc>
        <w:tc>
          <w:tcPr>
            <w:tcW w:w="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(300)</w:t>
            </w:r>
          </w:p>
        </w:tc>
      </w:tr>
      <w:tr>
        <w:trPr>
          <w:trHeight w:val="166"/>
        </w:trPr>
        <w:tc>
          <w:tcPr>
            <w:tcW w:w="91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Proceeds from investments in unconsolidated affiliates</w:t>
            </w:r>
          </w:p>
        </w:tc>
        <w:tc>
          <w:tcPr>
            <w:tcW w:w="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790</w:t>
            </w:r>
          </w:p>
        </w:tc>
      </w:tr>
      <w:tr>
        <w:trPr>
          <w:trHeight w:val="143"/>
        </w:trPr>
        <w:tc>
          <w:tcPr>
            <w:tcW w:w="9120" w:type="dxa"/>
            <w:vAlign w:val="bottom"/>
            <w:tcBorders>
              <w:bottom w:val="single" w:sz="8" w:color="CCEEFF"/>
            </w:tcBorders>
          </w:tcPr>
          <w:p>
            <w:pPr>
              <w:ind w:left="680"/>
              <w:spacing w:after="0" w:line="125" w:lineRule="exact"/>
              <w:rPr>
                <w:sz w:val="20"/>
                <w:szCs w:val="20"/>
                <w:color w:val="auto"/>
              </w:rPr>
            </w:pPr>
            <w:r>
              <w:rPr>
                <w:rFonts w:ascii="Arial" w:cs="Arial" w:eastAsia="Arial" w:hAnsi="Arial"/>
                <w:sz w:val="11"/>
                <w:szCs w:val="11"/>
                <w:color w:val="auto"/>
              </w:rPr>
              <w:t>Net cash provided by investing activities</w:t>
            </w:r>
          </w:p>
        </w:tc>
        <w:tc>
          <w:tcPr>
            <w:tcW w:w="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483</w:t>
            </w:r>
          </w:p>
        </w:tc>
      </w:tr>
      <w:tr>
        <w:trPr>
          <w:trHeight w:val="146"/>
        </w:trPr>
        <w:tc>
          <w:tcPr>
            <w:tcW w:w="91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52"/>
        </w:trPr>
        <w:tc>
          <w:tcPr>
            <w:tcW w:w="912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Payment for debt modification costs</w:t>
            </w: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(298)</w:t>
            </w:r>
          </w:p>
        </w:tc>
      </w:tr>
      <w:tr>
        <w:trPr>
          <w:trHeight w:val="157"/>
        </w:trPr>
        <w:tc>
          <w:tcPr>
            <w:tcW w:w="9120" w:type="dxa"/>
            <w:vAlign w:val="bottom"/>
            <w:shd w:val="clear" w:color="auto" w:fill="CCEEFF"/>
          </w:tcPr>
          <w:p>
            <w:pPr>
              <w:ind w:left="680"/>
              <w:spacing w:after="0"/>
              <w:rPr>
                <w:sz w:val="20"/>
                <w:szCs w:val="20"/>
                <w:color w:val="auto"/>
              </w:rPr>
            </w:pPr>
            <w:r>
              <w:rPr>
                <w:rFonts w:ascii="Arial" w:cs="Arial" w:eastAsia="Arial" w:hAnsi="Arial"/>
                <w:sz w:val="11"/>
                <w:szCs w:val="11"/>
                <w:color w:val="auto"/>
              </w:rPr>
              <w:t>Net cash used in financing activities</w:t>
            </w:r>
          </w:p>
        </w:tc>
        <w:tc>
          <w:tcPr>
            <w:tcW w:w="8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(298)</w:t>
            </w:r>
          </w:p>
        </w:tc>
      </w:tr>
      <w:tr>
        <w:trPr>
          <w:trHeight w:val="143"/>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CHANGE IN CASH AND CASH EQUIVALENTS</w:t>
            </w:r>
          </w:p>
        </w:tc>
        <w:tc>
          <w:tcPr>
            <w:tcW w:w="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2,863</w:t>
            </w:r>
          </w:p>
        </w:tc>
      </w:tr>
      <w:tr>
        <w:trPr>
          <w:trHeight w:val="157"/>
        </w:trPr>
        <w:tc>
          <w:tcPr>
            <w:tcW w:w="9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 beginning of period</w:t>
            </w:r>
          </w:p>
        </w:tc>
        <w:tc>
          <w:tcPr>
            <w:tcW w:w="8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3,119</w:t>
            </w:r>
          </w:p>
        </w:tc>
      </w:tr>
      <w:tr>
        <w:trPr>
          <w:trHeight w:val="129"/>
        </w:trPr>
        <w:tc>
          <w:tcPr>
            <w:tcW w:w="9120" w:type="dxa"/>
            <w:vAlign w:val="bottom"/>
          </w:tcPr>
          <w:p>
            <w:pPr>
              <w:ind w:left="20"/>
              <w:spacing w:after="0" w:line="125" w:lineRule="exact"/>
              <w:rPr>
                <w:sz w:val="20"/>
                <w:szCs w:val="20"/>
                <w:color w:val="auto"/>
              </w:rPr>
            </w:pPr>
            <w:r>
              <w:rPr>
                <w:rFonts w:ascii="Arial" w:cs="Arial" w:eastAsia="Arial" w:hAnsi="Arial"/>
                <w:sz w:val="11"/>
                <w:szCs w:val="11"/>
                <w:color w:val="auto"/>
              </w:rPr>
              <w:t>Cash and cash equivalents,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5,982</w:t>
            </w:r>
          </w:p>
        </w:tc>
      </w:tr>
      <w:tr>
        <w:trPr>
          <w:trHeight w:val="20"/>
        </w:trPr>
        <w:tc>
          <w:tcPr>
            <w:tcW w:w="9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20"/>
        </w:trPr>
        <w:tc>
          <w:tcPr>
            <w:tcW w:w="912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SUPPLEMENTAL CASH FLOW INFORMATION:</w:t>
            </w:r>
          </w:p>
        </w:tc>
        <w:tc>
          <w:tcPr>
            <w:tcW w:w="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r>
      <w:tr>
        <w:trPr>
          <w:trHeight w:val="145"/>
        </w:trPr>
        <w:tc>
          <w:tcPr>
            <w:tcW w:w="9120" w:type="dxa"/>
            <w:vAlign w:val="bottom"/>
          </w:tcPr>
          <w:p>
            <w:pPr>
              <w:ind w:left="280"/>
              <w:spacing w:after="0"/>
              <w:rPr>
                <w:sz w:val="20"/>
                <w:szCs w:val="20"/>
                <w:color w:val="auto"/>
              </w:rPr>
            </w:pPr>
            <w:r>
              <w:rPr>
                <w:rFonts w:ascii="Arial" w:cs="Arial" w:eastAsia="Arial" w:hAnsi="Arial"/>
                <w:sz w:val="11"/>
                <w:szCs w:val="11"/>
                <w:color w:val="auto"/>
              </w:rPr>
              <w:t>Cash paid during the period for income taxes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680" w:type="dxa"/>
            <w:vAlign w:val="bottom"/>
          </w:tcPr>
          <w:p>
            <w:pPr>
              <w:jc w:val="right"/>
              <w:spacing w:after="0"/>
              <w:rPr>
                <w:sz w:val="20"/>
                <w:szCs w:val="20"/>
                <w:color w:val="auto"/>
              </w:rPr>
            </w:pPr>
            <w:r>
              <w:rPr>
                <w:rFonts w:ascii="Arial" w:cs="Arial" w:eastAsia="Arial" w:hAnsi="Arial"/>
                <w:sz w:val="11"/>
                <w:szCs w:val="11"/>
                <w:color w:val="auto"/>
              </w:rPr>
              <w:t>205</w:t>
            </w:r>
          </w:p>
        </w:tc>
      </w:tr>
    </w:tbl>
    <w:p>
      <w:pPr>
        <w:sectPr>
          <w:pgSz w:w="11900" w:h="16838" w:orient="portrait"/>
          <w:cols w:equalWidth="0" w:num="1">
            <w:col w:w="10880"/>
          </w:cols>
          <w:pgMar w:left="500" w:top="730" w:right="51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4"/>
          <w:szCs w:val="14"/>
          <w:b w:val="1"/>
          <w:bCs w:val="1"/>
          <w:color w:val="auto"/>
        </w:rPr>
        <w:t>SALIENT PARTNERS,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DESCRIPTION OF THE BUSINESS</w:t>
      </w:r>
    </w:p>
    <w:p>
      <w:pPr>
        <w:spacing w:after="0" w:line="98" w:lineRule="exact"/>
        <w:rPr>
          <w:sz w:val="20"/>
          <w:szCs w:val="20"/>
          <w:color w:val="auto"/>
        </w:rPr>
      </w:pPr>
    </w:p>
    <w:p>
      <w:pPr>
        <w:ind w:right="60" w:firstLine="382"/>
        <w:spacing w:after="0" w:line="267" w:lineRule="auto"/>
        <w:rPr>
          <w:sz w:val="20"/>
          <w:szCs w:val="20"/>
          <w:color w:val="auto"/>
        </w:rPr>
      </w:pPr>
      <w:r>
        <w:rPr>
          <w:rFonts w:ascii="Arial" w:cs="Arial" w:eastAsia="Arial" w:hAnsi="Arial"/>
          <w:sz w:val="14"/>
          <w:szCs w:val="14"/>
          <w:color w:val="auto"/>
        </w:rPr>
        <w:t>Salient Partners, L.P. ("Salient", and collectively along with its consolidated subsidiaries known as "the Partnership") is a limited partnership organized under the laws of the State of Delaware pursuant to its certificate of limited partnership dated May 1, 2003. The Partnership manages investment assets and provides advisory services to its clients through its subsidiaries. Salient Capital Management, LLC ("SCM") serves as the general partner of Salient.</w:t>
      </w:r>
    </w:p>
    <w:p>
      <w:pPr>
        <w:spacing w:after="0" w:line="57" w:lineRule="exact"/>
        <w:rPr>
          <w:sz w:val="20"/>
          <w:szCs w:val="20"/>
          <w:color w:val="auto"/>
        </w:rPr>
      </w:pPr>
    </w:p>
    <w:p>
      <w:pPr>
        <w:ind w:right="240" w:firstLine="382"/>
        <w:spacing w:after="0" w:line="281" w:lineRule="auto"/>
        <w:rPr>
          <w:sz w:val="20"/>
          <w:szCs w:val="20"/>
          <w:color w:val="auto"/>
        </w:rPr>
      </w:pPr>
      <w:r>
        <w:rPr>
          <w:rFonts w:ascii="Arial" w:cs="Arial" w:eastAsia="Arial" w:hAnsi="Arial"/>
          <w:sz w:val="14"/>
          <w:szCs w:val="14"/>
          <w:color w:val="auto"/>
        </w:rPr>
        <w:t>Salient Advisors, L.P. ("SALP"), a Texas limited partnership, is a registered investment adviser ("RIA") under the Investment Advisers Act of 1940 (the "Advisers Act"), a commodity pool operator ("CPO"), and commodity trading advisor ("CTA") registered with the Commodity Futures Trading Commission ("CFTC").</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Salient Capital Advisors, LLC ("SCA"), a Texas limited liability company, is registered as an RIA under the Advisers Act that provides investment advisory services to clients.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SALP and SCA provides investment advisory services to mutual funds ("Salient MF Trust Complex") and other investment products.</w:t>
      </w:r>
    </w:p>
    <w:p>
      <w:pPr>
        <w:spacing w:after="0" w:line="94" w:lineRule="exact"/>
        <w:rPr>
          <w:sz w:val="20"/>
          <w:szCs w:val="20"/>
          <w:color w:val="auto"/>
        </w:rPr>
      </w:pPr>
    </w:p>
    <w:p>
      <w:pPr>
        <w:ind w:right="20" w:firstLine="382"/>
        <w:spacing w:after="0" w:line="267" w:lineRule="auto"/>
        <w:rPr>
          <w:sz w:val="20"/>
          <w:szCs w:val="20"/>
          <w:color w:val="auto"/>
        </w:rPr>
      </w:pPr>
      <w:r>
        <w:rPr>
          <w:rFonts w:ascii="Arial" w:cs="Arial" w:eastAsia="Arial" w:hAnsi="Arial"/>
          <w:sz w:val="14"/>
          <w:szCs w:val="14"/>
          <w:color w:val="auto"/>
        </w:rPr>
        <w:t>Forward Management, LLC ("FML"), a Delaware limited liability company, is an RIA under the Advisers Act that owns a limited broker-dealer subsidiary, Forward Securities, LLC ("FSL") which is registered with the Financial Industry Regulatory Authority ("FINRA"), (collectively, Forward). FML provides investment advisory services to mutual funds ("Forward MF Trust Complex") and other investment products. FML is a variable interest entity ("VIE") with Salient being the primary beneficiary.</w:t>
      </w:r>
    </w:p>
    <w:p>
      <w:pPr>
        <w:spacing w:after="0" w:line="57" w:lineRule="exact"/>
        <w:rPr>
          <w:sz w:val="20"/>
          <w:szCs w:val="20"/>
          <w:color w:val="auto"/>
        </w:rPr>
      </w:pPr>
    </w:p>
    <w:p>
      <w:pPr>
        <w:ind w:right="200" w:firstLine="382"/>
        <w:spacing w:after="0" w:line="267" w:lineRule="auto"/>
        <w:rPr>
          <w:sz w:val="20"/>
          <w:szCs w:val="20"/>
          <w:color w:val="auto"/>
        </w:rPr>
      </w:pPr>
      <w:r>
        <w:rPr>
          <w:rFonts w:ascii="Arial" w:cs="Arial" w:eastAsia="Arial" w:hAnsi="Arial"/>
          <w:sz w:val="14"/>
          <w:szCs w:val="14"/>
          <w:color w:val="auto"/>
        </w:rPr>
        <w:t>Salient Capital, L.P. ("SCLP"), a Texas limited partnership, is registered as a broker-dealer with FINRA. SALP, SCLP and Salient Employment Services, LLC ("SESL"), a Delaware limited liability company, are all owned by Salient with a 99% ownership interest, the remaining 1% ownership interest is held by SCM, general partner of SALP, SCLP and SESL. SCLP serves as a subplacement agent for private placements.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Salient is appointed as the sole member of Salient MLP GP, LLC ("SMGL"), a Delaware limited liability company that serves as a general partner for certain fund products.</w:t>
      </w:r>
    </w:p>
    <w:p>
      <w:pPr>
        <w:spacing w:after="0" w:line="90" w:lineRule="exact"/>
        <w:rPr>
          <w:sz w:val="20"/>
          <w:szCs w:val="20"/>
          <w:color w:val="auto"/>
        </w:rPr>
      </w:pPr>
    </w:p>
    <w:p>
      <w:pPr>
        <w:ind w:left="40" w:right="7420" w:hanging="35"/>
        <w:spacing w:after="0" w:line="382" w:lineRule="auto"/>
        <w:tabs>
          <w:tab w:leader="none" w:pos="153"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w:t>
      </w:r>
    </w:p>
    <w:p>
      <w:pPr>
        <w:ind w:left="380"/>
        <w:spacing w:after="0"/>
        <w:rPr>
          <w:rFonts w:ascii="Arial" w:cs="Arial" w:eastAsia="Arial" w:hAnsi="Arial"/>
          <w:sz w:val="14"/>
          <w:szCs w:val="14"/>
          <w:b w:val="1"/>
          <w:bCs w:val="1"/>
          <w:color w:val="auto"/>
        </w:rPr>
      </w:pPr>
      <w:r>
        <w:rPr>
          <w:rFonts w:ascii="Arial" w:cs="Arial" w:eastAsia="Arial" w:hAnsi="Arial"/>
          <w:sz w:val="12"/>
          <w:szCs w:val="12"/>
          <w:color w:val="auto"/>
        </w:rPr>
        <w:t>The accompanying consolidated financial statements have been presented on the accrual basis of accounting in conformity with U.S. generally accepted accounting principles ("U.S. GAAP").</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Principles of Consolidation</w:t>
      </w:r>
    </w:p>
    <w:p>
      <w:pPr>
        <w:spacing w:after="0" w:line="98" w:lineRule="exact"/>
        <w:rPr>
          <w:sz w:val="20"/>
          <w:szCs w:val="20"/>
          <w:color w:val="auto"/>
        </w:rPr>
      </w:pPr>
    </w:p>
    <w:p>
      <w:pPr>
        <w:ind w:right="120" w:firstLine="382"/>
        <w:spacing w:after="0" w:line="281" w:lineRule="auto"/>
        <w:rPr>
          <w:sz w:val="20"/>
          <w:szCs w:val="20"/>
          <w:color w:val="auto"/>
        </w:rPr>
      </w:pPr>
      <w:r>
        <w:rPr>
          <w:rFonts w:ascii="Arial" w:cs="Arial" w:eastAsia="Arial" w:hAnsi="Arial"/>
          <w:sz w:val="14"/>
          <w:szCs w:val="14"/>
          <w:color w:val="auto"/>
        </w:rPr>
        <w:t>All significant intercompany balances and transactions have been eliminated. The accompanying consolidated financial statements include the accounts of Salient, SALP, SCLP, SESL, SCA, SMGL, and Forward.</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98"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The preparation of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 and such differences may be significant.</w:t>
      </w:r>
    </w:p>
    <w:p>
      <w:pPr>
        <w:spacing w:after="0" w:line="53" w:lineRule="exact"/>
        <w:rPr>
          <w:sz w:val="20"/>
          <w:szCs w:val="20"/>
          <w:color w:val="auto"/>
        </w:rPr>
      </w:pPr>
    </w:p>
    <w:p>
      <w:pPr>
        <w:ind w:right="9980" w:firstLine="5"/>
        <w:spacing w:after="0" w:line="446" w:lineRule="auto"/>
        <w:tabs>
          <w:tab w:leader="none" w:pos="141"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REVENUE Revenue Recognition</w:t>
      </w:r>
    </w:p>
    <w:p>
      <w:pPr>
        <w:ind w:right="380" w:firstLine="382"/>
        <w:spacing w:after="0" w:line="281" w:lineRule="auto"/>
        <w:rPr>
          <w:sz w:val="20"/>
          <w:szCs w:val="20"/>
          <w:color w:val="auto"/>
        </w:rPr>
      </w:pPr>
      <w:r>
        <w:rPr>
          <w:rFonts w:ascii="Arial" w:cs="Arial" w:eastAsia="Arial" w:hAnsi="Arial"/>
          <w:sz w:val="14"/>
          <w:szCs w:val="14"/>
          <w:color w:val="auto"/>
        </w:rPr>
        <w:t>Revenue is measured and recognized based on the five-step process outlined in ASC 606, Revenue from Contracts with Customers. Revenue is determined based on the transaction price negotiated with the customers. Revenue is adjusted for any expense reimbursement arrangements.</w:t>
      </w:r>
    </w:p>
    <w:p>
      <w:pPr>
        <w:spacing w:after="0" w:line="47"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Investment advisory fees are derived from providing professional services to manage client accounts. Services are satisfied over time as the services are provided and are typically based upon a percentage of the value of the client’s assets</w:t>
      </w:r>
    </w:p>
    <w:p>
      <w:pPr>
        <w:sectPr>
          <w:pgSz w:w="11900" w:h="16838" w:orient="portrait"/>
          <w:cols w:equalWidth="0" w:num="1">
            <w:col w:w="11260"/>
          </w:cols>
          <w:pgMar w:left="300" w:top="889"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auto"/>
        </w:rPr>
        <w:t>under management. Any fees collected in advance are deferred and recognized as income over the period in which services are rendered.</w:t>
      </w:r>
    </w:p>
    <w:p>
      <w:pPr>
        <w:spacing w:after="0" w:line="94" w:lineRule="exact"/>
        <w:rPr>
          <w:sz w:val="20"/>
          <w:szCs w:val="20"/>
          <w:color w:val="auto"/>
        </w:rPr>
      </w:pPr>
    </w:p>
    <w:p>
      <w:pPr>
        <w:ind w:right="340" w:firstLine="382"/>
        <w:spacing w:after="0" w:line="281" w:lineRule="auto"/>
        <w:rPr>
          <w:sz w:val="20"/>
          <w:szCs w:val="20"/>
          <w:color w:val="auto"/>
        </w:rPr>
      </w:pPr>
      <w:r>
        <w:rPr>
          <w:rFonts w:ascii="Arial" w:cs="Arial" w:eastAsia="Arial" w:hAnsi="Arial"/>
          <w:sz w:val="14"/>
          <w:szCs w:val="14"/>
          <w:color w:val="auto"/>
        </w:rPr>
        <w:t>Fund management fees are earned for services rendered relating to fund accounting, transfer agent, administrative and/or other maintenance activities performed for sponsored investment vehicles. Fees are generally based upon a percentage of the value of the assets under management. All these services are transferred over time.</w:t>
      </w:r>
    </w:p>
    <w:p>
      <w:pPr>
        <w:spacing w:after="0" w:line="47" w:lineRule="exact"/>
        <w:rPr>
          <w:sz w:val="20"/>
          <w:szCs w:val="20"/>
          <w:color w:val="auto"/>
        </w:rPr>
      </w:pPr>
    </w:p>
    <w:p>
      <w:pPr>
        <w:ind w:right="200" w:firstLine="382"/>
        <w:spacing w:after="0" w:line="267" w:lineRule="auto"/>
        <w:rPr>
          <w:sz w:val="20"/>
          <w:szCs w:val="20"/>
          <w:color w:val="auto"/>
        </w:rPr>
      </w:pPr>
      <w:r>
        <w:rPr>
          <w:rFonts w:ascii="Arial" w:cs="Arial" w:eastAsia="Arial" w:hAnsi="Arial"/>
          <w:sz w:val="14"/>
          <w:szCs w:val="14"/>
          <w:color w:val="auto"/>
        </w:rPr>
        <w:t>Private placement commissions are earned for referring clients in funds managed by other asset managers. Services are satisfied over time as the services are provided by the asset managers and are typically based upon a percentage of the value of the client’s assets under management. Fiduciary fees are determined based on agreements, which generally provide for fees based on a percentage of assets under management. All these services are transferred over time.</w:t>
      </w:r>
    </w:p>
    <w:p>
      <w:pPr>
        <w:spacing w:after="0" w:line="57" w:lineRule="exact"/>
        <w:rPr>
          <w:sz w:val="20"/>
          <w:szCs w:val="20"/>
          <w:color w:val="auto"/>
        </w:rPr>
      </w:pPr>
    </w:p>
    <w:p>
      <w:pPr>
        <w:ind w:right="60" w:firstLine="382"/>
        <w:spacing w:after="0" w:line="260" w:lineRule="auto"/>
        <w:rPr>
          <w:sz w:val="20"/>
          <w:szCs w:val="20"/>
          <w:color w:val="auto"/>
        </w:rPr>
      </w:pPr>
      <w:r>
        <w:rPr>
          <w:rFonts w:ascii="Arial" w:cs="Arial" w:eastAsia="Arial" w:hAnsi="Arial"/>
          <w:sz w:val="14"/>
          <w:szCs w:val="14"/>
          <w:color w:val="auto"/>
        </w:rPr>
        <w:t>Performance fee revenues, including carried interests and performance fees related to partnership investments and separate accounts, are generated on certain management contracts when performance hurdles are achieved. Such fee revenues are recorded in operating revenues when the contractual performance criteria have been met and when it is probable that a significant reversal of revenue recognized will not occur in future reporting periods. Cash receipt of performance fees generally occurs after the performance fee revenue is earned. Given the uniqueness of each fee arrangement, performance fee contracts are evaluated on an individual basis to determine the timing of revenue recognition. Performance fees typically arise from investment management activities that were initially undertaken in prior reporting periods.</w:t>
      </w:r>
    </w:p>
    <w:p>
      <w:pPr>
        <w:spacing w:after="0" w:line="62" w:lineRule="exact"/>
        <w:rPr>
          <w:sz w:val="20"/>
          <w:szCs w:val="20"/>
          <w:color w:val="auto"/>
        </w:rPr>
      </w:pPr>
    </w:p>
    <w:p>
      <w:pPr>
        <w:ind w:right="520" w:firstLine="382"/>
        <w:spacing w:after="0" w:line="368" w:lineRule="auto"/>
        <w:rPr>
          <w:sz w:val="20"/>
          <w:szCs w:val="20"/>
          <w:color w:val="auto"/>
        </w:rPr>
      </w:pPr>
      <w:r>
        <w:rPr>
          <w:rFonts w:ascii="Arial" w:cs="Arial" w:eastAsia="Arial" w:hAnsi="Arial"/>
          <w:sz w:val="12"/>
          <w:szCs w:val="12"/>
          <w:color w:val="auto"/>
        </w:rPr>
        <w:t>Dividend income is recorded on the ex-dividend date (net of any withholding taxes). Interest income is recorded as earned on an accrual basis and includes amortization or accretion of premiums or discounts, respectively. Royalty income is recorded as earned on an accrual basis and disclosed as other income in the consolidated statement of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LIQUIDITY</w:t>
      </w:r>
    </w:p>
    <w:p>
      <w:pPr>
        <w:spacing w:after="0" w:line="98" w:lineRule="exact"/>
        <w:rPr>
          <w:sz w:val="20"/>
          <w:szCs w:val="20"/>
          <w:color w:val="auto"/>
        </w:rPr>
      </w:pPr>
    </w:p>
    <w:p>
      <w:pPr>
        <w:ind w:right="320" w:firstLine="382"/>
        <w:spacing w:after="0" w:line="281" w:lineRule="auto"/>
        <w:rPr>
          <w:sz w:val="20"/>
          <w:szCs w:val="20"/>
          <w:color w:val="auto"/>
        </w:rPr>
      </w:pPr>
      <w:r>
        <w:rPr>
          <w:rFonts w:ascii="Arial" w:cs="Arial" w:eastAsia="Arial" w:hAnsi="Arial"/>
          <w:sz w:val="14"/>
          <w:szCs w:val="14"/>
          <w:color w:val="auto"/>
        </w:rPr>
        <w:t>Salient has approximately $62.3 million in debt and interest payable to lenders as of September 30, 2022, which are due in February 2023. Refer to footnote 13, "Subsequent Events" for a discussion of the satisfaction of the Partnership’s obligation to its debt holders.</w:t>
      </w:r>
    </w:p>
    <w:p>
      <w:pPr>
        <w:spacing w:after="0" w:line="47" w:lineRule="exact"/>
        <w:rPr>
          <w:sz w:val="20"/>
          <w:szCs w:val="20"/>
          <w:color w:val="auto"/>
        </w:rPr>
      </w:pPr>
    </w:p>
    <w:p>
      <w:pPr>
        <w:ind w:right="40" w:firstLine="382"/>
        <w:spacing w:after="0" w:line="260" w:lineRule="auto"/>
        <w:rPr>
          <w:sz w:val="20"/>
          <w:szCs w:val="20"/>
          <w:color w:val="auto"/>
        </w:rPr>
      </w:pPr>
      <w:r>
        <w:rPr>
          <w:rFonts w:ascii="Arial" w:cs="Arial" w:eastAsia="Arial" w:hAnsi="Arial"/>
          <w:sz w:val="14"/>
          <w:szCs w:val="14"/>
          <w:color w:val="auto"/>
        </w:rPr>
        <w:t>On May 25, 2022, Salient entered into a definitive agreement with Westwood Holdings Group, Inc. to sell the asset management business for an upfront payment of $35 million at closing of the transaction subject to customary adjustments, with deferred payments of up to $25 million over several years, upon satisfaction of certain revenue retention and growth targets. In conjunction, Salient also entered into a restructuring agreement with its debt and certain of its equity holders to release all liens in favor of the purchaser and receive covenants not to sue. Each of the debt holders agreed that the consummation of the sale transaction and distribution of the net proceeds from the sale as full and final satisfaction of the Partnership’s obligation to such debt holders. The transaction was consummated on November 18, 2022.</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PARTNERS' DEFICIT</w:t>
      </w:r>
    </w:p>
    <w:p>
      <w:pPr>
        <w:spacing w:after="0" w:line="98" w:lineRule="exact"/>
        <w:rPr>
          <w:sz w:val="20"/>
          <w:szCs w:val="20"/>
          <w:color w:val="auto"/>
        </w:rPr>
      </w:pPr>
    </w:p>
    <w:p>
      <w:pPr>
        <w:ind w:firstLine="382"/>
        <w:spacing w:after="0" w:line="280" w:lineRule="auto"/>
        <w:rPr>
          <w:sz w:val="20"/>
          <w:szCs w:val="20"/>
          <w:color w:val="auto"/>
        </w:rPr>
      </w:pPr>
      <w:r>
        <w:rPr>
          <w:rFonts w:ascii="Arial" w:cs="Arial" w:eastAsia="Arial" w:hAnsi="Arial"/>
          <w:sz w:val="13"/>
          <w:szCs w:val="13"/>
          <w:color w:val="auto"/>
        </w:rPr>
        <w:t>Salient has Class A and Class B Units. In accordance with the rights and preferences set forth in the Limited Partnership Agreement (the "LPA"), Class A Units have a liquidation preference that ranks superior to the Class B Units and any other equity securities. The LPA imposes transfer restrictions on certain Class B Unit holders. Class A Units accrue dividends on a cumulative basis at the rate of 8% per annum on their unreturned capital amounts and accrued unpaid yield. Dividends in the amount of $9.8 million for 2022 were accrued for Class A Unit holders. The LPA stipulates a “Return Requirement Adjustment” upon a Liquidity Event or an Event of noncompliance (as such terms are defined in the LPA) whereby a minimum return on investment is guaranteed to Class A Unit holders. Any shortfall between the calculated return and the minimum return will be made up with the grant of additional equity such that after giving effect to such increase and recalculating the Internal Rate of Return ("IRR") to the Class A Unit holders, the return requirement will be met provided any such increase in equity of Class A Units will result in dilution of Class B Unit holders only and the effective reallocation is not in excess of 10% of total Units outstanding.</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minimum return on investment includes both:</w:t>
      </w:r>
    </w:p>
    <w:p>
      <w:pPr>
        <w:spacing w:after="0" w:line="94" w:lineRule="exact"/>
        <w:rPr>
          <w:sz w:val="20"/>
          <w:szCs w:val="20"/>
          <w:color w:val="auto"/>
        </w:rPr>
      </w:pPr>
    </w:p>
    <w:p>
      <w:pPr>
        <w:ind w:left="1020" w:hanging="379"/>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Achieving a cumulative IRR of at least 30%; and</w:t>
      </w:r>
    </w:p>
    <w:p>
      <w:pPr>
        <w:spacing w:after="0" w:line="93" w:lineRule="exact"/>
        <w:rPr>
          <w:rFonts w:ascii="Arial" w:cs="Arial" w:eastAsia="Arial" w:hAnsi="Arial"/>
          <w:sz w:val="14"/>
          <w:szCs w:val="14"/>
          <w:color w:val="auto"/>
        </w:rPr>
      </w:pPr>
    </w:p>
    <w:p>
      <w:pPr>
        <w:ind w:left="1020" w:hanging="379"/>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Receiving IRR proceeds equal to at least two and a half times the Class A Unit holders’ capital contributions.</w:t>
      </w:r>
    </w:p>
    <w:p>
      <w:pPr>
        <w:spacing w:after="0" w:line="94" w:lineRule="exact"/>
        <w:rPr>
          <w:sz w:val="20"/>
          <w:szCs w:val="20"/>
          <w:color w:val="auto"/>
        </w:rPr>
      </w:pPr>
    </w:p>
    <w:p>
      <w:pPr>
        <w:ind w:right="140" w:firstLine="382"/>
        <w:spacing w:after="0" w:line="281" w:lineRule="auto"/>
        <w:rPr>
          <w:sz w:val="20"/>
          <w:szCs w:val="20"/>
          <w:color w:val="auto"/>
        </w:rPr>
      </w:pPr>
      <w:r>
        <w:rPr>
          <w:rFonts w:ascii="Arial" w:cs="Arial" w:eastAsia="Arial" w:hAnsi="Arial"/>
          <w:sz w:val="14"/>
          <w:szCs w:val="14"/>
          <w:color w:val="auto"/>
        </w:rPr>
        <w:t>Such reallocation will not change the number of votes held by Class A and Class B Unit holders. The LPA also prescribes "Conversion Price Adjustments" for Class A Unit holders in certain events including the occurrence of an IPO.</w:t>
      </w:r>
    </w:p>
    <w:p>
      <w:pPr>
        <w:sectPr>
          <w:pgSz w:w="11900" w:h="16838" w:orient="portrait"/>
          <w:cols w:equalWidth="0" w:num="1">
            <w:col w:w="11280"/>
          </w:cols>
          <w:pgMar w:left="300" w:top="978" w:right="319" w:bottom="1440" w:gutter="0" w:footer="0" w:header="0"/>
        </w:sectPr>
      </w:pPr>
    </w:p>
    <w:bookmarkStart w:id="51" w:name="page52"/>
    <w:bookmarkEnd w:id="51"/>
    <w:p>
      <w:pPr>
        <w:spacing w:after="0"/>
        <w:rPr>
          <w:sz w:val="20"/>
          <w:szCs w:val="20"/>
          <w:color w:val="auto"/>
        </w:rPr>
      </w:pPr>
      <w:r>
        <w:rPr>
          <w:rFonts w:ascii="Arial" w:cs="Arial" w:eastAsia="Arial" w:hAnsi="Arial"/>
          <w:sz w:val="13"/>
          <w:szCs w:val="13"/>
          <w:color w:val="auto"/>
        </w:rPr>
        <w:t>The Return Requirement Adjustment and Conversion Price Adjustment features have been bifurcated from the Class A Units and have been separately accounted for as a derivative instrument.</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fair value of the derivative liability was $0 as of September 30, 2022.</w:t>
      </w:r>
    </w:p>
    <w:p>
      <w:pPr>
        <w:spacing w:after="0" w:line="94" w:lineRule="exact"/>
        <w:rPr>
          <w:sz w:val="20"/>
          <w:szCs w:val="20"/>
          <w:color w:val="auto"/>
        </w:rPr>
      </w:pPr>
    </w:p>
    <w:p>
      <w:pPr>
        <w:ind w:right="60" w:firstLine="382"/>
        <w:spacing w:after="0" w:line="260" w:lineRule="auto"/>
        <w:rPr>
          <w:sz w:val="20"/>
          <w:szCs w:val="20"/>
          <w:color w:val="auto"/>
        </w:rPr>
      </w:pPr>
      <w:r>
        <w:rPr>
          <w:rFonts w:ascii="Arial" w:cs="Arial" w:eastAsia="Arial" w:hAnsi="Arial"/>
          <w:sz w:val="14"/>
          <w:szCs w:val="14"/>
          <w:color w:val="auto"/>
        </w:rPr>
        <w:t>The terms of the LPA provide that at any time on or after January 15, 2016, upon a redemption option exercised by Majority Class A Unit holders as defined in the LPA, Salient is required to repurchase, within one year from Salient’s receipt of such redemption option notice, all of the Class A Units at a repurchase price per unit payable in cash equal to the greater of 1) the unreturned capital contributions plus the accrued unpaid dividends and 2) fair market value as defined in the LPA. Class A Units are also redeemable either automatically or at the option of the Majority Class A Unit holders upon Events of Noncompliance or upon a Liquidity Event as such terms are defined in the LPA. The Class A Unit holders have not exercised this redemption right as of the date of the consolidated financial statements.</w:t>
      </w:r>
    </w:p>
    <w:p>
      <w:pPr>
        <w:spacing w:after="0" w:line="62" w:lineRule="exact"/>
        <w:rPr>
          <w:sz w:val="20"/>
          <w:szCs w:val="20"/>
          <w:color w:val="auto"/>
        </w:rPr>
      </w:pPr>
    </w:p>
    <w:p>
      <w:pPr>
        <w:jc w:val="both"/>
        <w:ind w:right="20" w:firstLine="382"/>
        <w:spacing w:after="0" w:line="267" w:lineRule="auto"/>
        <w:rPr>
          <w:sz w:val="20"/>
          <w:szCs w:val="20"/>
          <w:color w:val="auto"/>
        </w:rPr>
      </w:pPr>
      <w:r>
        <w:rPr>
          <w:rFonts w:ascii="Arial" w:cs="Arial" w:eastAsia="Arial" w:hAnsi="Arial"/>
          <w:sz w:val="14"/>
          <w:szCs w:val="14"/>
          <w:color w:val="auto"/>
        </w:rPr>
        <w:t>Pursuant to the LPA, Salient may be dissolved upon 1) approval by Salient’s Board, the Majority Summit Investors and the Majority Continuing Investors or 2) after January 15, 2017 upon the occurrence and continuance of a material breach by Salient and approval of dissolution by the Majority Summit Investors, or 3) by the entry of a judicial dissolution of Salient under the Delaware Act under which Salient was created.</w:t>
      </w:r>
    </w:p>
    <w:p>
      <w:pPr>
        <w:spacing w:after="0" w:line="57" w:lineRule="exact"/>
        <w:rPr>
          <w:sz w:val="20"/>
          <w:szCs w:val="20"/>
          <w:color w:val="auto"/>
        </w:rPr>
      </w:pPr>
    </w:p>
    <w:p>
      <w:pPr>
        <w:ind w:right="20" w:firstLine="382"/>
        <w:spacing w:after="0" w:line="284" w:lineRule="auto"/>
        <w:rPr>
          <w:sz w:val="20"/>
          <w:szCs w:val="20"/>
          <w:color w:val="auto"/>
        </w:rPr>
      </w:pPr>
      <w:r>
        <w:rPr>
          <w:rFonts w:ascii="Arial" w:cs="Arial" w:eastAsia="Arial" w:hAnsi="Arial"/>
          <w:sz w:val="13"/>
          <w:szCs w:val="13"/>
          <w:color w:val="auto"/>
        </w:rPr>
        <w:t>Class B Units originally issued to executives of Salient may be repurchased at Salient’s option other than for termination without cause in which case Salient is required to repurchase. Optional repurchase rights are made in the following order: 1) Class B executive partners, 2) Salient and 3) Class A Unit holders all at purchase prices as provided for in the LPA. The buyouts with respect to termination of an executive are settled on a structured cash basis over a four-year period from the executive partner’s termination date.The allocation of equity between the partners is provisional based on a theoretical distribution of net assets at year end and may not be indicative of the ultimate settlement when liquidated. Since the Partnership has a deficit balance at September 30, 2022, no amounts would be distributed to the partners for book purposes as the partners have no legal requirement to make additional contributions to the Partnership.</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GOODWILL AND INTANGIBLE ASSETS</w:t>
      </w:r>
    </w:p>
    <w:p>
      <w:pPr>
        <w:spacing w:after="0" w:line="98" w:lineRule="exact"/>
        <w:rPr>
          <w:sz w:val="20"/>
          <w:szCs w:val="20"/>
          <w:color w:val="auto"/>
        </w:rPr>
      </w:pPr>
    </w:p>
    <w:p>
      <w:pPr>
        <w:ind w:right="180" w:firstLine="382"/>
        <w:spacing w:after="0" w:line="281" w:lineRule="auto"/>
        <w:rPr>
          <w:sz w:val="20"/>
          <w:szCs w:val="20"/>
          <w:color w:val="auto"/>
        </w:rPr>
      </w:pPr>
      <w:r>
        <w:rPr>
          <w:rFonts w:ascii="Arial" w:cs="Arial" w:eastAsia="Arial" w:hAnsi="Arial"/>
          <w:sz w:val="14"/>
          <w:szCs w:val="14"/>
          <w:color w:val="auto"/>
        </w:rPr>
        <w:t>The Partnership completed its most recent annual goodwill impairment assessment during the fourth quarter of 2021 and determined no impairment had occurred with respect to the carrying amounts of goodwill.</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INVESTMENTS</w:t>
      </w:r>
    </w:p>
    <w:p>
      <w:pPr>
        <w:spacing w:after="0" w:line="98" w:lineRule="exact"/>
        <w:rPr>
          <w:sz w:val="20"/>
          <w:szCs w:val="20"/>
          <w:color w:val="auto"/>
        </w:rPr>
      </w:pPr>
    </w:p>
    <w:p>
      <w:pPr>
        <w:ind w:right="4960" w:firstLine="382"/>
        <w:spacing w:after="0" w:line="368" w:lineRule="auto"/>
        <w:rPr>
          <w:sz w:val="20"/>
          <w:szCs w:val="20"/>
          <w:color w:val="auto"/>
        </w:rPr>
      </w:pPr>
      <w:r>
        <w:rPr>
          <w:rFonts w:ascii="Arial" w:cs="Arial" w:eastAsia="Arial" w:hAnsi="Arial"/>
          <w:sz w:val="12"/>
          <w:szCs w:val="12"/>
          <w:color w:val="auto"/>
        </w:rPr>
        <w:t>The Partnership’s other investments portfolio is comprised of marketable securities. The following is a summary of the cumulative gross unrealized gains (losses) on other investments held as of September 30, 2022:</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Investments carried at fair value are presented in the table below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left="135"/>
              <w:spacing w:after="0"/>
              <w:rPr>
                <w:sz w:val="20"/>
                <w:szCs w:val="20"/>
                <w:color w:val="auto"/>
              </w:rPr>
            </w:pPr>
            <w:r>
              <w:rPr>
                <w:rFonts w:ascii="Arial" w:cs="Arial" w:eastAsia="Arial" w:hAnsi="Arial"/>
                <w:sz w:val="13"/>
                <w:szCs w:val="13"/>
                <w:b w:val="1"/>
                <w:bCs w:val="1"/>
                <w:color w:val="auto"/>
                <w:w w:val="85"/>
              </w:rPr>
              <w:t>Gross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left="155"/>
              <w:spacing w:after="0"/>
              <w:rPr>
                <w:sz w:val="20"/>
                <w:szCs w:val="20"/>
                <w:color w:val="auto"/>
              </w:rPr>
            </w:pPr>
            <w:r>
              <w:rPr>
                <w:rFonts w:ascii="Arial" w:cs="Arial" w:eastAsia="Arial" w:hAnsi="Arial"/>
                <w:sz w:val="13"/>
                <w:szCs w:val="13"/>
                <w:b w:val="1"/>
                <w:bCs w:val="1"/>
                <w:color w:val="auto"/>
                <w:w w:val="85"/>
              </w:rPr>
              <w:t>Gross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15"/>
              <w:spacing w:after="0"/>
              <w:rPr>
                <w:sz w:val="20"/>
                <w:szCs w:val="20"/>
                <w:color w:val="auto"/>
              </w:rPr>
            </w:pPr>
            <w:r>
              <w:rPr>
                <w:rFonts w:ascii="Arial" w:cs="Arial" w:eastAsia="Arial" w:hAnsi="Arial"/>
                <w:sz w:val="13"/>
                <w:szCs w:val="13"/>
                <w:b w:val="1"/>
                <w:bCs w:val="1"/>
                <w:color w:val="auto"/>
                <w:w w:val="90"/>
              </w:rPr>
              <w:t>Estimated</w:t>
            </w:r>
          </w:p>
        </w:tc>
        <w:tc>
          <w:tcPr>
            <w:tcW w:w="0" w:type="dxa"/>
            <w:vAlign w:val="bottom"/>
          </w:tcPr>
          <w:p>
            <w:pPr>
              <w:spacing w:after="0"/>
              <w:rPr>
                <w:sz w:val="1"/>
                <w:szCs w:val="1"/>
                <w:color w:val="auto"/>
              </w:rPr>
            </w:pPr>
          </w:p>
        </w:tc>
      </w:tr>
      <w:tr>
        <w:trPr>
          <w:trHeight w:val="127"/>
        </w:trPr>
        <w:tc>
          <w:tcPr>
            <w:tcW w:w="6500" w:type="dxa"/>
            <w:vAlign w:val="bottom"/>
          </w:tcPr>
          <w:p>
            <w:pPr>
              <w:spacing w:after="0"/>
              <w:rPr>
                <w:sz w:val="11"/>
                <w:szCs w:val="11"/>
                <w:color w:val="auto"/>
              </w:rPr>
            </w:pP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Cost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135"/>
              <w:spacing w:after="0" w:line="128" w:lineRule="exact"/>
              <w:rPr>
                <w:sz w:val="20"/>
                <w:szCs w:val="20"/>
                <w:color w:val="auto"/>
              </w:rPr>
            </w:pPr>
            <w:r>
              <w:rPr>
                <w:rFonts w:ascii="Arial" w:cs="Arial" w:eastAsia="Arial" w:hAnsi="Arial"/>
                <w:sz w:val="13"/>
                <w:szCs w:val="13"/>
                <w:b w:val="1"/>
                <w:bCs w:val="1"/>
                <w:color w:val="auto"/>
                <w:w w:val="91"/>
              </w:rPr>
              <w:t>Unrealized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left="155"/>
              <w:spacing w:after="0" w:line="128" w:lineRule="exact"/>
              <w:rPr>
                <w:sz w:val="20"/>
                <w:szCs w:val="20"/>
                <w:color w:val="auto"/>
              </w:rPr>
            </w:pPr>
            <w:r>
              <w:rPr>
                <w:rFonts w:ascii="Arial" w:cs="Arial" w:eastAsia="Arial" w:hAnsi="Arial"/>
                <w:sz w:val="13"/>
                <w:szCs w:val="13"/>
                <w:b w:val="1"/>
                <w:bCs w:val="1"/>
                <w:color w:val="auto"/>
                <w:w w:val="91"/>
              </w:rPr>
              <w:t>Unrealized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115"/>
              <w:spacing w:after="0" w:line="128"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68"/>
        </w:trPr>
        <w:tc>
          <w:tcPr>
            <w:tcW w:w="65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ind w:left="135"/>
              <w:spacing w:after="0"/>
              <w:rPr>
                <w:sz w:val="20"/>
                <w:szCs w:val="20"/>
                <w:color w:val="auto"/>
              </w:rPr>
            </w:pPr>
            <w:r>
              <w:rPr>
                <w:rFonts w:ascii="Arial" w:cs="Arial" w:eastAsia="Arial" w:hAnsi="Arial"/>
                <w:sz w:val="13"/>
                <w:szCs w:val="13"/>
                <w:b w:val="1"/>
                <w:bCs w:val="1"/>
                <w:color w:val="auto"/>
                <w:w w:val="88"/>
              </w:rPr>
              <w:t>Gains</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ind w:left="155"/>
              <w:spacing w:after="0"/>
              <w:rPr>
                <w:sz w:val="20"/>
                <w:szCs w:val="20"/>
                <w:color w:val="auto"/>
              </w:rPr>
            </w:pPr>
            <w:r>
              <w:rPr>
                <w:rFonts w:ascii="Arial" w:cs="Arial" w:eastAsia="Arial" w:hAnsi="Arial"/>
                <w:sz w:val="13"/>
                <w:szCs w:val="13"/>
                <w:b w:val="1"/>
                <w:bCs w:val="1"/>
                <w:color w:val="auto"/>
                <w:w w:val="80"/>
              </w:rPr>
              <w:t>Losses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63"/>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2022:</w:t>
            </w: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50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760" w:type="dxa"/>
            <w:vAlign w:val="bottom"/>
          </w:tcPr>
          <w:p>
            <w:pPr>
              <w:jc w:val="right"/>
              <w:ind w:right="613"/>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5"/>
                <w:szCs w:val="15"/>
                <w:color w:val="auto"/>
              </w:rPr>
            </w:pPr>
          </w:p>
        </w:tc>
        <w:tc>
          <w:tcPr>
            <w:tcW w:w="920" w:type="dxa"/>
            <w:vAlign w:val="bottom"/>
          </w:tcPr>
          <w:p>
            <w:pPr>
              <w:jc w:val="right"/>
              <w:ind w:right="775"/>
              <w:spacing w:after="0"/>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900" w:type="dxa"/>
            <w:vAlign w:val="bottom"/>
          </w:tcPr>
          <w:p>
            <w:pPr>
              <w:jc w:val="right"/>
              <w:ind w:right="755"/>
              <w:spacing w:after="0"/>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EQUITY METHOD INVESTMENTS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Equity method investments, presented as investments in unconsolidated affiliates, as of September 30, 2022, are as follows (in thousands, except percentages):</w:t>
      </w:r>
    </w:p>
    <w:p>
      <w:pPr>
        <w:sectPr>
          <w:pgSz w:w="11900" w:h="16838" w:orient="portrait"/>
          <w:cols w:equalWidth="0" w:num="1">
            <w:col w:w="11280"/>
          </w:cols>
          <w:pgMar w:left="300" w:top="977"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8"/>
        </w:trPr>
        <w:tc>
          <w:tcPr>
            <w:tcW w:w="700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jc w:val="right"/>
              <w:ind w:right="1533"/>
              <w:spacing w:after="0"/>
              <w:rPr>
                <w:sz w:val="20"/>
                <w:szCs w:val="20"/>
                <w:color w:val="auto"/>
              </w:rPr>
            </w:pPr>
            <w:r>
              <w:rPr>
                <w:rFonts w:ascii="Arial" w:cs="Arial" w:eastAsia="Arial" w:hAnsi="Arial"/>
                <w:sz w:val="13"/>
                <w:szCs w:val="13"/>
                <w:b w:val="1"/>
                <w:bCs w:val="1"/>
                <w:color w:val="auto"/>
                <w:w w:val="92"/>
              </w:rPr>
              <w:t>September 30, 2022</w:t>
            </w:r>
          </w:p>
        </w:tc>
      </w:tr>
      <w:tr>
        <w:trPr>
          <w:trHeight w:val="160"/>
        </w:trPr>
        <w:tc>
          <w:tcPr>
            <w:tcW w:w="700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Carrying Value</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10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Ownership Percentage</w:t>
            </w:r>
          </w:p>
        </w:tc>
      </w:tr>
      <w:tr>
        <w:trPr>
          <w:trHeight w:val="173"/>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Salient Zarvona Energy Fund GP , L.P .</w:t>
            </w:r>
          </w:p>
        </w:tc>
        <w:tc>
          <w:tcPr>
            <w:tcW w:w="1540" w:type="dxa"/>
            <w:vAlign w:val="bottom"/>
            <w:shd w:val="clear" w:color="auto" w:fill="CCEEFF"/>
          </w:tcPr>
          <w:p>
            <w:pPr>
              <w:jc w:val="right"/>
              <w:ind w:right="1392"/>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3,089</w:t>
            </w: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r>
      <w:tr>
        <w:trPr>
          <w:trHeight w:val="180"/>
        </w:trPr>
        <w:tc>
          <w:tcPr>
            <w:tcW w:w="7000" w:type="dxa"/>
            <w:vAlign w:val="bottom"/>
          </w:tcPr>
          <w:p>
            <w:pPr>
              <w:ind w:left="20"/>
              <w:spacing w:after="0"/>
              <w:rPr>
                <w:sz w:val="20"/>
                <w:szCs w:val="20"/>
                <w:color w:val="auto"/>
              </w:rPr>
            </w:pPr>
            <w:r>
              <w:rPr>
                <w:rFonts w:ascii="Arial" w:cs="Arial" w:eastAsia="Arial" w:hAnsi="Arial"/>
                <w:sz w:val="14"/>
                <w:szCs w:val="14"/>
                <w:color w:val="auto"/>
              </w:rPr>
              <w:t>The Salient Zarvona Energy Fund II-A, L.P</w:t>
            </w:r>
          </w:p>
        </w:tc>
        <w:tc>
          <w:tcPr>
            <w:tcW w:w="15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595</w:t>
            </w:r>
          </w:p>
        </w:tc>
        <w:tc>
          <w:tcPr>
            <w:tcW w:w="2180" w:type="dxa"/>
            <w:vAlign w:val="bottom"/>
            <w:gridSpan w:val="2"/>
          </w:tcPr>
          <w:p>
            <w:pPr>
              <w:jc w:val="right"/>
              <w:spacing w:after="0"/>
              <w:rPr>
                <w:sz w:val="20"/>
                <w:szCs w:val="20"/>
                <w:color w:val="auto"/>
              </w:rPr>
            </w:pPr>
            <w:r>
              <w:rPr>
                <w:rFonts w:ascii="Arial" w:cs="Arial" w:eastAsia="Arial" w:hAnsi="Arial"/>
                <w:sz w:val="14"/>
                <w:szCs w:val="14"/>
                <w:color w:val="auto"/>
              </w:rPr>
              <w:t>0.533</w:t>
            </w:r>
          </w:p>
        </w:tc>
      </w:tr>
      <w:tr>
        <w:trPr>
          <w:trHeight w:val="181"/>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Broadmark Asset Management LLC</w:t>
            </w:r>
          </w:p>
        </w:tc>
        <w:tc>
          <w:tcPr>
            <w:tcW w:w="15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47.460</w:t>
            </w:r>
          </w:p>
        </w:tc>
      </w:tr>
      <w:tr>
        <w:trPr>
          <w:trHeight w:val="180"/>
        </w:trPr>
        <w:tc>
          <w:tcPr>
            <w:tcW w:w="7000" w:type="dxa"/>
            <w:vAlign w:val="bottom"/>
          </w:tcPr>
          <w:p>
            <w:pPr>
              <w:ind w:left="20"/>
              <w:spacing w:after="0"/>
              <w:rPr>
                <w:sz w:val="20"/>
                <w:szCs w:val="20"/>
                <w:color w:val="auto"/>
              </w:rPr>
            </w:pPr>
            <w:r>
              <w:rPr>
                <w:rFonts w:ascii="Arial" w:cs="Arial" w:eastAsia="Arial" w:hAnsi="Arial"/>
                <w:sz w:val="14"/>
                <w:szCs w:val="14"/>
                <w:color w:val="auto"/>
              </w:rPr>
              <w:t>Sustainable Woodlands Fund II, L.P.</w:t>
            </w:r>
          </w:p>
        </w:tc>
        <w:tc>
          <w:tcPr>
            <w:tcW w:w="15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w:t>
            </w:r>
          </w:p>
        </w:tc>
        <w:tc>
          <w:tcPr>
            <w:tcW w:w="2180" w:type="dxa"/>
            <w:vAlign w:val="bottom"/>
            <w:gridSpan w:val="2"/>
          </w:tcPr>
          <w:p>
            <w:pPr>
              <w:jc w:val="right"/>
              <w:spacing w:after="0"/>
              <w:rPr>
                <w:sz w:val="20"/>
                <w:szCs w:val="20"/>
                <w:color w:val="auto"/>
              </w:rPr>
            </w:pPr>
            <w:r>
              <w:rPr>
                <w:rFonts w:ascii="Arial" w:cs="Arial" w:eastAsia="Arial" w:hAnsi="Arial"/>
                <w:sz w:val="14"/>
                <w:szCs w:val="14"/>
                <w:color w:val="auto"/>
              </w:rPr>
              <w:t>0.140</w:t>
            </w:r>
          </w:p>
        </w:tc>
      </w:tr>
      <w:tr>
        <w:trPr>
          <w:trHeight w:val="181"/>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Sustainable Woodlands Partners , LLC</w:t>
            </w:r>
          </w:p>
        </w:tc>
        <w:tc>
          <w:tcPr>
            <w:tcW w:w="15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24.959</w:t>
            </w:r>
          </w:p>
        </w:tc>
      </w:tr>
      <w:tr>
        <w:trPr>
          <w:trHeight w:val="180"/>
        </w:trPr>
        <w:tc>
          <w:tcPr>
            <w:tcW w:w="7000" w:type="dxa"/>
            <w:vAlign w:val="bottom"/>
          </w:tcPr>
          <w:p>
            <w:pPr>
              <w:ind w:left="20"/>
              <w:spacing w:after="0"/>
              <w:rPr>
                <w:sz w:val="20"/>
                <w:szCs w:val="20"/>
                <w:color w:val="auto"/>
              </w:rPr>
            </w:pPr>
            <w:r>
              <w:rPr>
                <w:rFonts w:ascii="Arial" w:cs="Arial" w:eastAsia="Arial" w:hAnsi="Arial"/>
                <w:sz w:val="14"/>
                <w:szCs w:val="14"/>
                <w:color w:val="auto"/>
              </w:rPr>
              <w:t>Salient MLP Total Return Fund, L.P.</w:t>
            </w:r>
          </w:p>
        </w:tc>
        <w:tc>
          <w:tcPr>
            <w:tcW w:w="15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w:t>
            </w:r>
          </w:p>
        </w:tc>
        <w:tc>
          <w:tcPr>
            <w:tcW w:w="2180" w:type="dxa"/>
            <w:vAlign w:val="bottom"/>
            <w:gridSpan w:val="2"/>
          </w:tcPr>
          <w:p>
            <w:pPr>
              <w:jc w:val="right"/>
              <w:spacing w:after="0"/>
              <w:rPr>
                <w:sz w:val="20"/>
                <w:szCs w:val="20"/>
                <w:color w:val="auto"/>
              </w:rPr>
            </w:pPr>
            <w:r>
              <w:rPr>
                <w:rFonts w:ascii="Arial" w:cs="Arial" w:eastAsia="Arial" w:hAnsi="Arial"/>
                <w:sz w:val="14"/>
                <w:szCs w:val="14"/>
                <w:color w:val="auto"/>
              </w:rPr>
              <w:t>0.007</w:t>
            </w:r>
          </w:p>
        </w:tc>
      </w:tr>
      <w:tr>
        <w:trPr>
          <w:trHeight w:val="181"/>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Salient MLP Total Return TE Fund, L.P.</w:t>
            </w:r>
          </w:p>
        </w:tc>
        <w:tc>
          <w:tcPr>
            <w:tcW w:w="15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0.017</w:t>
            </w:r>
          </w:p>
        </w:tc>
      </w:tr>
      <w:tr>
        <w:trPr>
          <w:trHeight w:val="18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PMF Fund, L.P.</w:t>
            </w:r>
          </w:p>
        </w:tc>
        <w:tc>
          <w:tcPr>
            <w:tcW w:w="15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0.006</w:t>
            </w:r>
          </w:p>
        </w:tc>
      </w:tr>
      <w:tr>
        <w:trPr>
          <w:trHeight w:val="196"/>
        </w:trPr>
        <w:tc>
          <w:tcPr>
            <w:tcW w:w="7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Total</w:t>
            </w:r>
          </w:p>
        </w:tc>
        <w:tc>
          <w:tcPr>
            <w:tcW w:w="1540" w:type="dxa"/>
            <w:vAlign w:val="bottom"/>
            <w:tcBorders>
              <w:bottom w:val="single" w:sz="8" w:color="auto"/>
            </w:tcBorders>
            <w:shd w:val="clear" w:color="auto" w:fill="CCEEFF"/>
          </w:tcPr>
          <w:p>
            <w:pPr>
              <w:jc w:val="right"/>
              <w:ind w:right="139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4,659</w:t>
            </w:r>
          </w:p>
        </w:tc>
        <w:tc>
          <w:tcPr>
            <w:tcW w:w="8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spacing w:after="0"/>
              <w:rPr>
                <w:sz w:val="16"/>
                <w:szCs w:val="16"/>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right="40" w:firstLine="382"/>
        <w:spacing w:after="0" w:line="260" w:lineRule="auto"/>
        <w:rPr>
          <w:sz w:val="20"/>
          <w:szCs w:val="20"/>
          <w:color w:val="auto"/>
        </w:rPr>
      </w:pPr>
      <w:r>
        <w:rPr>
          <w:rFonts w:ascii="Arial" w:cs="Arial" w:eastAsia="Arial" w:hAnsi="Arial"/>
          <w:sz w:val="14"/>
          <w:szCs w:val="14"/>
          <w:color w:val="auto"/>
        </w:rPr>
        <w:t>Equity in earnings from equity method investees is included in the consolidated statements of comprehensive loss under the caption “equity in earnings of unconsolidated affiliates, net.” These earnings recorded on the consolidated statements of comprehensive loss are net of expenses payable to Hightower for the Zarvona net fee revenues earned from funds during the year by the Salient Zarvona Energy Fund GP, LP, which is based on an agreement that was entered into during the sale of Salient Private Client in 2018. The amounts netted for the three and nine months ended September 30, 2022 were $0.1 million and $0.3 million. Amounts payable to Hightower has been shown as a payable on the balance sheet under the caption “Accounts payable and accrued liabilities” and the balance payable at September 30, 2022 was $1.1 million.</w:t>
      </w:r>
    </w:p>
    <w:p>
      <w:pPr>
        <w:spacing w:after="0" w:line="62" w:lineRule="exact"/>
        <w:rPr>
          <w:sz w:val="20"/>
          <w:szCs w:val="20"/>
          <w:color w:val="auto"/>
        </w:rPr>
      </w:pPr>
    </w:p>
    <w:p>
      <w:pPr>
        <w:jc w:val="both"/>
        <w:ind w:right="420" w:firstLine="382"/>
        <w:spacing w:after="0" w:line="267" w:lineRule="auto"/>
        <w:rPr>
          <w:sz w:val="20"/>
          <w:szCs w:val="20"/>
          <w:color w:val="auto"/>
        </w:rPr>
      </w:pPr>
      <w:r>
        <w:rPr>
          <w:rFonts w:ascii="Arial" w:cs="Arial" w:eastAsia="Arial" w:hAnsi="Arial"/>
          <w:sz w:val="14"/>
          <w:szCs w:val="14"/>
          <w:color w:val="auto"/>
        </w:rPr>
        <w:t>The Partnership evaluates its equity method investments for impairment whenever events or changes in circumstances indicate that the carrying amounts of such investments may not be recoverable. The amount by which the carrying value of the equity method investment exceeds its estimated fair value would be recognized as an impairment loss when the decrease in value is determined to be other-than-temporary.</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FAIR VALUE MEASUREMENTS</w:t>
      </w:r>
    </w:p>
    <w:p>
      <w:pPr>
        <w:spacing w:after="0" w:line="98" w:lineRule="exact"/>
        <w:rPr>
          <w:sz w:val="20"/>
          <w:szCs w:val="20"/>
          <w:color w:val="auto"/>
        </w:rPr>
      </w:pPr>
    </w:p>
    <w:p>
      <w:pPr>
        <w:ind w:right="560" w:firstLine="382"/>
        <w:spacing w:after="0" w:line="281" w:lineRule="auto"/>
        <w:rPr>
          <w:sz w:val="20"/>
          <w:szCs w:val="20"/>
          <w:color w:val="auto"/>
        </w:rPr>
      </w:pPr>
      <w:r>
        <w:rPr>
          <w:rFonts w:ascii="Arial" w:cs="Arial" w:eastAsia="Arial" w:hAnsi="Arial"/>
          <w:sz w:val="14"/>
          <w:szCs w:val="14"/>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47" w:lineRule="exact"/>
        <w:rPr>
          <w:sz w:val="20"/>
          <w:szCs w:val="20"/>
          <w:color w:val="auto"/>
        </w:rPr>
      </w:pPr>
    </w:p>
    <w:p>
      <w:pPr>
        <w:ind w:left="900" w:hanging="450"/>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Level 1 – quoted market prices in active markets for identical assets</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Level 2 – inputs other than quoted prices that are directly or indirectly observable</w:t>
      </w:r>
    </w:p>
    <w:p>
      <w:pPr>
        <w:spacing w:after="0" w:line="93" w:lineRule="exact"/>
        <w:rPr>
          <w:rFonts w:ascii="Arial" w:cs="Arial" w:eastAsia="Arial" w:hAnsi="Arial"/>
          <w:sz w:val="14"/>
          <w:szCs w:val="14"/>
          <w:color w:val="auto"/>
        </w:rPr>
      </w:pPr>
    </w:p>
    <w:p>
      <w:pPr>
        <w:ind w:left="900" w:hanging="450"/>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Level 3 – significant unobservable inputs where there is little or no market activity</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the values of our investments measured at fair value on a recurring basis within the fair value hierarchy as of the dates indicated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3"/>
                <w:szCs w:val="13"/>
                <w:b w:val="1"/>
                <w:bCs w:val="1"/>
                <w:color w:val="auto"/>
              </w:rPr>
              <w:t>Level 1</w:t>
            </w:r>
          </w:p>
        </w:tc>
        <w:tc>
          <w:tcPr>
            <w:tcW w:w="22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3"/>
                <w:szCs w:val="13"/>
                <w:b w:val="1"/>
                <w:bCs w:val="1"/>
                <w:color w:val="auto"/>
              </w:rPr>
              <w:t>Level 2</w:t>
            </w:r>
          </w:p>
        </w:tc>
        <w:tc>
          <w:tcPr>
            <w:tcW w:w="840" w:type="dxa"/>
            <w:vAlign w:val="bottom"/>
          </w:tcPr>
          <w:p>
            <w:pPr>
              <w:jc w:val="right"/>
              <w:ind w:right="15"/>
              <w:spacing w:after="0"/>
              <w:rPr>
                <w:sz w:val="20"/>
                <w:szCs w:val="20"/>
                <w:color w:val="auto"/>
              </w:rPr>
            </w:pPr>
            <w:r>
              <w:rPr>
                <w:rFonts w:ascii="Arial" w:cs="Arial" w:eastAsia="Arial" w:hAnsi="Arial"/>
                <w:sz w:val="13"/>
                <w:szCs w:val="13"/>
                <w:b w:val="1"/>
                <w:bCs w:val="1"/>
                <w:color w:val="auto"/>
              </w:rPr>
              <w:t>Level 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54"/>
              <w:spacing w:after="0"/>
              <w:rPr>
                <w:sz w:val="20"/>
                <w:szCs w:val="20"/>
                <w:color w:val="auto"/>
              </w:rPr>
            </w:pPr>
            <w:r>
              <w:rPr>
                <w:rFonts w:ascii="Arial" w:cs="Arial" w:eastAsia="Arial" w:hAnsi="Arial"/>
                <w:sz w:val="13"/>
                <w:szCs w:val="13"/>
                <w:b w:val="1"/>
                <w:bCs w:val="1"/>
                <w:color w:val="auto"/>
              </w:rPr>
              <w:t>Total</w:t>
            </w:r>
          </w:p>
        </w:tc>
      </w:tr>
      <w:tr>
        <w:trPr>
          <w:trHeight w:val="163"/>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September 30, 2022:</w:t>
            </w: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80"/>
        </w:trPr>
        <w:tc>
          <w:tcPr>
            <w:tcW w:w="6500" w:type="dxa"/>
            <w:vAlign w:val="bottom"/>
          </w:tcPr>
          <w:p>
            <w:pPr>
              <w:ind w:left="20"/>
              <w:spacing w:after="0"/>
              <w:rPr>
                <w:sz w:val="20"/>
                <w:szCs w:val="20"/>
                <w:color w:val="auto"/>
              </w:rPr>
            </w:pPr>
            <w:r>
              <w:rPr>
                <w:rFonts w:ascii="Arial" w:cs="Arial" w:eastAsia="Arial" w:hAnsi="Arial"/>
                <w:sz w:val="14"/>
                <w:szCs w:val="14"/>
                <w:color w:val="auto"/>
              </w:rPr>
              <w:t>Money market funds (cash equivalents)</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2,523</w:t>
            </w:r>
          </w:p>
        </w:tc>
        <w:tc>
          <w:tcPr>
            <w:tcW w:w="10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695"/>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2,523</w:t>
            </w:r>
          </w:p>
        </w:tc>
      </w:tr>
      <w:tr>
        <w:trPr>
          <w:trHeight w:val="181"/>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marketable securities</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w:t>
            </w:r>
          </w:p>
        </w:tc>
      </w:tr>
    </w:tbl>
    <w:p>
      <w:pPr>
        <w:spacing w:after="0" w:line="200" w:lineRule="exact"/>
        <w:rPr>
          <w:sz w:val="20"/>
          <w:szCs w:val="20"/>
          <w:color w:val="auto"/>
        </w:rPr>
      </w:pPr>
    </w:p>
    <w:p>
      <w:pPr>
        <w:spacing w:after="0" w:line="295" w:lineRule="exact"/>
        <w:rPr>
          <w:sz w:val="20"/>
          <w:szCs w:val="20"/>
          <w:color w:val="auto"/>
        </w:rPr>
      </w:pPr>
    </w:p>
    <w:p>
      <w:pPr>
        <w:ind w:left="220" w:hanging="215"/>
        <w:spacing w:after="0"/>
        <w:tabs>
          <w:tab w:leader="none" w:pos="22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DEBT</w:t>
      </w:r>
    </w:p>
    <w:p>
      <w:pPr>
        <w:spacing w:after="0" w:line="97" w:lineRule="exact"/>
        <w:rPr>
          <w:rFonts w:ascii="Arial" w:cs="Arial" w:eastAsia="Arial" w:hAnsi="Arial"/>
          <w:sz w:val="14"/>
          <w:szCs w:val="14"/>
          <w:b w:val="1"/>
          <w:bCs w:val="1"/>
          <w:color w:val="auto"/>
        </w:rPr>
      </w:pPr>
    </w:p>
    <w:p>
      <w:pPr>
        <w:ind w:left="580" w:hanging="193"/>
        <w:spacing w:after="0"/>
        <w:tabs>
          <w:tab w:leader="none" w:pos="580" w:val="left"/>
        </w:tabs>
        <w:numPr>
          <w:ilvl w:val="1"/>
          <w:numId w:val="6"/>
        </w:numPr>
        <w:rPr>
          <w:rFonts w:ascii="Arial" w:cs="Arial" w:eastAsia="Arial" w:hAnsi="Arial"/>
          <w:sz w:val="14"/>
          <w:szCs w:val="14"/>
          <w:color w:val="auto"/>
        </w:rPr>
      </w:pPr>
      <w:r>
        <w:rPr>
          <w:rFonts w:ascii="Arial" w:cs="Arial" w:eastAsia="Arial" w:hAnsi="Arial"/>
          <w:sz w:val="14"/>
          <w:szCs w:val="14"/>
          <w:color w:val="auto"/>
        </w:rPr>
        <w:t>Subordinated Debt</w:t>
      </w:r>
    </w:p>
    <w:p>
      <w:pPr>
        <w:spacing w:after="0" w:line="94" w:lineRule="exact"/>
        <w:rPr>
          <w:sz w:val="20"/>
          <w:szCs w:val="20"/>
          <w:color w:val="auto"/>
        </w:rPr>
      </w:pPr>
    </w:p>
    <w:p>
      <w:pPr>
        <w:ind w:right="120" w:firstLine="382"/>
        <w:spacing w:after="0" w:line="321" w:lineRule="auto"/>
        <w:rPr>
          <w:sz w:val="20"/>
          <w:szCs w:val="20"/>
          <w:color w:val="auto"/>
        </w:rPr>
      </w:pPr>
      <w:r>
        <w:rPr>
          <w:rFonts w:ascii="Arial" w:cs="Arial" w:eastAsia="Arial" w:hAnsi="Arial"/>
          <w:sz w:val="13"/>
          <w:szCs w:val="13"/>
          <w:color w:val="auto"/>
        </w:rPr>
        <w:t>On January 15, 2010, the partners of Salient entered into a purchase and redemption agreement to sell 37.67% of their partnership interests in Salient and SCM for $65 million. As part of this transaction, under separate note agreements with affiliates of the equity investors, Salient raised additional capital through the issuance of $60 million in subordinated</w:t>
      </w:r>
    </w:p>
    <w:p>
      <w:pPr>
        <w:sectPr>
          <w:pgSz w:w="11900" w:h="16838" w:orient="portrait"/>
          <w:cols w:equalWidth="0" w:num="1">
            <w:col w:w="11280"/>
          </w:cols>
          <w:pgMar w:left="300" w:top="1009" w:right="319" w:bottom="1440" w:gutter="0" w:footer="0" w:header="0"/>
        </w:sectPr>
      </w:pPr>
    </w:p>
    <w:bookmarkStart w:id="53" w:name="page54"/>
    <w:bookmarkEnd w:id="53"/>
    <w:p>
      <w:pPr>
        <w:ind w:right="400"/>
        <w:spacing w:after="0" w:line="281" w:lineRule="auto"/>
        <w:rPr>
          <w:sz w:val="20"/>
          <w:szCs w:val="20"/>
          <w:color w:val="auto"/>
        </w:rPr>
      </w:pPr>
      <w:r>
        <w:rPr>
          <w:rFonts w:ascii="Arial" w:cs="Arial" w:eastAsia="Arial" w:hAnsi="Arial"/>
          <w:sz w:val="14"/>
          <w:szCs w:val="14"/>
          <w:color w:val="auto"/>
        </w:rPr>
        <w:t>promissory notes (the "Sub Debt") which have since been amended for changes to financial covenant levels, reporting requirements, interest rates and to be consistent with certain provisions of Salient’s Senior Debt, as defined hereinafter.</w:t>
      </w:r>
    </w:p>
    <w:p>
      <w:pPr>
        <w:spacing w:after="0" w:line="47" w:lineRule="exact"/>
        <w:rPr>
          <w:sz w:val="20"/>
          <w:szCs w:val="20"/>
          <w:color w:val="auto"/>
        </w:rPr>
      </w:pPr>
    </w:p>
    <w:p>
      <w:pPr>
        <w:ind w:right="480" w:firstLine="382"/>
        <w:spacing w:after="0" w:line="281" w:lineRule="auto"/>
        <w:rPr>
          <w:sz w:val="20"/>
          <w:szCs w:val="20"/>
          <w:color w:val="auto"/>
        </w:rPr>
      </w:pPr>
      <w:r>
        <w:rPr>
          <w:rFonts w:ascii="Arial" w:cs="Arial" w:eastAsia="Arial" w:hAnsi="Arial"/>
          <w:sz w:val="14"/>
          <w:szCs w:val="14"/>
          <w:color w:val="auto"/>
        </w:rPr>
        <w:t>The Sub Debt outstanding balance is due at maturity on December 31, 2022, subject to any prior acceleration based on the terms of the Sub Debt agreement. At September 30, 2022 the outstanding unpaid principal balance was $41.4 million with no accrued interest payable.</w:t>
      </w:r>
    </w:p>
    <w:p>
      <w:pPr>
        <w:spacing w:after="0" w:line="47" w:lineRule="exact"/>
        <w:rPr>
          <w:sz w:val="20"/>
          <w:szCs w:val="20"/>
          <w:color w:val="auto"/>
        </w:rPr>
      </w:pPr>
    </w:p>
    <w:p>
      <w:pPr>
        <w:jc w:val="both"/>
        <w:ind w:right="80" w:firstLine="382"/>
        <w:spacing w:after="0" w:line="368" w:lineRule="auto"/>
        <w:rPr>
          <w:sz w:val="20"/>
          <w:szCs w:val="20"/>
          <w:color w:val="auto"/>
        </w:rPr>
      </w:pPr>
      <w:r>
        <w:rPr>
          <w:rFonts w:ascii="Arial" w:cs="Arial" w:eastAsia="Arial" w:hAnsi="Arial"/>
          <w:sz w:val="12"/>
          <w:szCs w:val="12"/>
          <w:color w:val="auto"/>
        </w:rPr>
        <w:t>On April 4, 2022, and on May 25, 2022, the Subordinated Debt agreement was amended through the 13th and 14th amendment resulting in changes to dates related to Salient's performance of specific action items, extension of delivery of audited financial statements and extension of maturity date to February 25, 2023, subject to any prior acceleration based on the terms of the agreement.</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 Senior Debt</w:t>
      </w:r>
    </w:p>
    <w:p>
      <w:pPr>
        <w:spacing w:after="0" w:line="94"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On June 9, 2015, Salient entered into a six-year, $100 million senior term loan (the "Senior Debt") agreement with a syndicate of banks. The Senior Debt was issued at a discount and recorded at fair value in accordance with U.S. GAAP, at $98 million. The Senior Debt is secured against all tangible and intangible assets of Salient and its wholly-owned subsidiaries included as loan parties or restricted subsidiaries other than SCLP and FSL. Depending on the type of loan elected each interest period, the interest rate spread varies over the stated Eurocurrency, Fed Funds or US Prime rate applicable for such period.</w:t>
      </w:r>
    </w:p>
    <w:p>
      <w:pPr>
        <w:spacing w:after="0" w:line="61" w:lineRule="exact"/>
        <w:rPr>
          <w:sz w:val="20"/>
          <w:szCs w:val="20"/>
          <w:color w:val="auto"/>
        </w:rPr>
      </w:pPr>
    </w:p>
    <w:p>
      <w:pPr>
        <w:ind w:right="280" w:firstLine="382"/>
        <w:spacing w:after="0" w:line="281" w:lineRule="auto"/>
        <w:rPr>
          <w:sz w:val="20"/>
          <w:szCs w:val="20"/>
          <w:color w:val="auto"/>
        </w:rPr>
      </w:pPr>
      <w:r>
        <w:rPr>
          <w:rFonts w:ascii="Arial" w:cs="Arial" w:eastAsia="Arial" w:hAnsi="Arial"/>
          <w:sz w:val="14"/>
          <w:szCs w:val="14"/>
          <w:color w:val="auto"/>
        </w:rPr>
        <w:t>The outstanding unpaid principal balance and accrued interest payable was $15.0 million and $1.9 million at September 30, 2022. The outside restructuring fee payable of $2.5 million was agreed to be paid upon consummation of a restructuring transaction and has been included as senior debt.</w:t>
      </w:r>
    </w:p>
    <w:p>
      <w:pPr>
        <w:spacing w:after="0" w:line="47" w:lineRule="exact"/>
        <w:rPr>
          <w:sz w:val="20"/>
          <w:szCs w:val="20"/>
          <w:color w:val="auto"/>
        </w:rPr>
      </w:pPr>
    </w:p>
    <w:p>
      <w:pPr>
        <w:ind w:right="60" w:firstLine="382"/>
        <w:spacing w:after="0" w:line="267" w:lineRule="auto"/>
        <w:rPr>
          <w:sz w:val="20"/>
          <w:szCs w:val="20"/>
          <w:color w:val="auto"/>
        </w:rPr>
      </w:pPr>
      <w:r>
        <w:rPr>
          <w:rFonts w:ascii="Arial" w:cs="Arial" w:eastAsia="Arial" w:hAnsi="Arial"/>
          <w:sz w:val="14"/>
          <w:szCs w:val="14"/>
          <w:color w:val="auto"/>
        </w:rPr>
        <w:t>On February 7, 2022, April 4, 2022, and on May 25, 2022, the Senior Debt agreement was amended through the 12th, 13th and 14th amendment resulting in changes to dates related to Salient’s performance of specific action items, extension of delivery of audited financial statements and extension of maturity date to February 25, 2023, subject to any prior acceleration based on the terms of the agreement.</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 Revolver</w:t>
      </w:r>
    </w:p>
    <w:p>
      <w:pPr>
        <w:spacing w:after="0" w:line="94" w:lineRule="exact"/>
        <w:rPr>
          <w:sz w:val="20"/>
          <w:szCs w:val="20"/>
          <w:color w:val="auto"/>
        </w:rPr>
      </w:pPr>
    </w:p>
    <w:p>
      <w:pPr>
        <w:ind w:right="20" w:firstLine="382"/>
        <w:spacing w:after="0" w:line="260" w:lineRule="auto"/>
        <w:rPr>
          <w:sz w:val="20"/>
          <w:szCs w:val="20"/>
          <w:color w:val="auto"/>
        </w:rPr>
      </w:pPr>
      <w:r>
        <w:rPr>
          <w:rFonts w:ascii="Arial" w:cs="Arial" w:eastAsia="Arial" w:hAnsi="Arial"/>
          <w:sz w:val="14"/>
          <w:szCs w:val="14"/>
          <w:color w:val="auto"/>
        </w:rPr>
        <w:t>In conjunction with the Senior Debt agreement, the Partnership entered into a revolving loan facility (the "Revolver") agreement. Effective the ninth amendment entered into on June 30, 2020, Cadence agreed to keep a facility of $1 million for all credit extensions made on and after the ninth amendment. The Partnership could request up to $3 million but for additional credit in excess of $1 million, the Partnership would need to provide dollar for dollar credit support. The Revolver was secured against all tangible and intangible assets of Salient and its wholly owned subsidiaries included as loan parties or restricted subsidiaries other than SCLP and FSL. Depending on the type of loan elected each interest period, the interest was payable monthly or quarterly in arrears and the interest rate spread varied over the stated Eurocurrency, Fed Funds or US Prime rate applicable for such period.</w:t>
      </w:r>
    </w:p>
    <w:p>
      <w:pPr>
        <w:spacing w:after="0" w:line="62" w:lineRule="exact"/>
        <w:rPr>
          <w:sz w:val="20"/>
          <w:szCs w:val="20"/>
          <w:color w:val="auto"/>
        </w:rPr>
      </w:pPr>
    </w:p>
    <w:p>
      <w:pPr>
        <w:ind w:left="380" w:right="360"/>
        <w:spacing w:after="0" w:line="379" w:lineRule="auto"/>
        <w:rPr>
          <w:sz w:val="20"/>
          <w:szCs w:val="20"/>
          <w:color w:val="auto"/>
        </w:rPr>
      </w:pPr>
      <w:r>
        <w:rPr>
          <w:rFonts w:ascii="Arial" w:cs="Arial" w:eastAsia="Arial" w:hAnsi="Arial"/>
          <w:sz w:val="14"/>
          <w:szCs w:val="14"/>
          <w:color w:val="auto"/>
        </w:rPr>
        <w:t>The outstanding principal balance drawn on the Revolver was $4.0 million, and the Partnership had no undrawn outstanding letters of credit for its office leases as of September 30, 2022. (d) Notes Payable</w:t>
      </w:r>
    </w:p>
    <w:p>
      <w:pPr>
        <w:spacing w:after="0" w:line="1" w:lineRule="exact"/>
        <w:rPr>
          <w:sz w:val="20"/>
          <w:szCs w:val="20"/>
          <w:color w:val="auto"/>
        </w:rPr>
      </w:pPr>
    </w:p>
    <w:p>
      <w:pPr>
        <w:ind w:right="80" w:firstLine="382"/>
        <w:spacing w:after="0" w:line="331" w:lineRule="auto"/>
        <w:rPr>
          <w:sz w:val="20"/>
          <w:szCs w:val="20"/>
          <w:color w:val="auto"/>
        </w:rPr>
      </w:pPr>
      <w:r>
        <w:rPr>
          <w:rFonts w:ascii="Arial" w:cs="Arial" w:eastAsia="Arial" w:hAnsi="Arial"/>
          <w:sz w:val="12"/>
          <w:szCs w:val="12"/>
          <w:color w:val="auto"/>
        </w:rPr>
        <w:t>Salient has notes payable to former employees for the repurchase of their respective class B Units. Each note bears interest at 8% per annum and is payable over four years. Interest expense of $0.1 million and $0.2 million was recognized in the consolidated statements of comprehensive loss for the three and nine months ended September 30, 2022. The outstanding principal balances of $3.0 million plus accrued interest of $1.0 million are presented on the consolidated balance sheets under captions “Note payable, including accruedinterest” as of September 30, 2022.</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 Small Business Association Loan</w:t>
      </w:r>
    </w:p>
    <w:p>
      <w:pPr>
        <w:spacing w:after="0" w:line="94" w:lineRule="exact"/>
        <w:rPr>
          <w:sz w:val="20"/>
          <w:szCs w:val="20"/>
          <w:color w:val="auto"/>
        </w:rPr>
      </w:pPr>
    </w:p>
    <w:p>
      <w:pPr>
        <w:ind w:right="20" w:firstLine="382"/>
        <w:spacing w:after="0" w:line="267" w:lineRule="auto"/>
        <w:rPr>
          <w:sz w:val="20"/>
          <w:szCs w:val="20"/>
          <w:color w:val="auto"/>
        </w:rPr>
      </w:pPr>
      <w:r>
        <w:rPr>
          <w:rFonts w:ascii="Arial" w:cs="Arial" w:eastAsia="Arial" w:hAnsi="Arial"/>
          <w:sz w:val="14"/>
          <w:szCs w:val="14"/>
          <w:color w:val="auto"/>
        </w:rPr>
        <w:t>Salient received a Payroll Protection Program ("PPP") loan in 2021 totaling $1.9 million, established by the Coronavirus Aid, Relief, and Economic Security Act, and has elected to account for the funding as a loan (until it is forgiven by the SBA) in accordance with ASC Topic 470, Debt. The outstanding principal balance is $1.9 million at September 30, 2022, which is presented on the consolidated balance sheets under caption "SBA Loan, including accrued interest."</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VARIABLE INTEREST ENTITIES</w:t>
      </w:r>
    </w:p>
    <w:p>
      <w:pPr>
        <w:spacing w:after="0" w:line="98" w:lineRule="exact"/>
        <w:rPr>
          <w:sz w:val="20"/>
          <w:szCs w:val="20"/>
          <w:color w:val="auto"/>
        </w:rPr>
      </w:pPr>
    </w:p>
    <w:p>
      <w:pPr>
        <w:ind w:right="140" w:firstLine="382"/>
        <w:spacing w:after="0" w:line="281" w:lineRule="auto"/>
        <w:rPr>
          <w:sz w:val="20"/>
          <w:szCs w:val="20"/>
          <w:color w:val="auto"/>
        </w:rPr>
      </w:pPr>
      <w:r>
        <w:rPr>
          <w:rFonts w:ascii="Arial" w:cs="Arial" w:eastAsia="Arial" w:hAnsi="Arial"/>
          <w:sz w:val="14"/>
          <w:szCs w:val="14"/>
          <w:color w:val="auto"/>
        </w:rPr>
        <w:t>The Partnership consolidates certain entities, when it is determined that the Partnership is the primary beneficiary, either directly or indirectly, through a consolidated entity or affiliate. FASB ASC Standard 810-10, “Consolidation”, as it</w:t>
      </w:r>
    </w:p>
    <w:p>
      <w:pPr>
        <w:sectPr>
          <w:pgSz w:w="11900" w:h="16838" w:orient="portrait"/>
          <w:cols w:equalWidth="0" w:num="1">
            <w:col w:w="11280"/>
          </w:cols>
          <w:pgMar w:left="300" w:top="978" w:right="319" w:bottom="1440" w:gutter="0" w:footer="0" w:header="0"/>
        </w:sectPr>
      </w:pPr>
    </w:p>
    <w:bookmarkStart w:id="54" w:name="page55"/>
    <w:bookmarkEnd w:id="54"/>
    <w:p>
      <w:pPr>
        <w:jc w:val="both"/>
        <w:ind w:right="220"/>
        <w:spacing w:after="0" w:line="267" w:lineRule="auto"/>
        <w:rPr>
          <w:sz w:val="20"/>
          <w:szCs w:val="20"/>
          <w:color w:val="auto"/>
        </w:rPr>
      </w:pPr>
      <w:r>
        <w:rPr>
          <w:rFonts w:ascii="Arial" w:cs="Arial" w:eastAsia="Arial" w:hAnsi="Arial"/>
          <w:sz w:val="14"/>
          <w:szCs w:val="14"/>
          <w:color w:val="auto"/>
        </w:rPr>
        <w:t>relates to VIEs, requires an analysis to (i) determine whether an entity in which the Partnership holds a variable interest is a VIE and (ii) determine whether the Partnership involvement, through holding interests directly or indirectly in the entity or contractually through other variable interests (e.g., incentive and management fees) would be expected to absorb a majority of the economic variability of the entity. Performance of that analysis requires the exercise of judgment.</w:t>
      </w:r>
    </w:p>
    <w:p>
      <w:pPr>
        <w:spacing w:after="0" w:line="57" w:lineRule="exact"/>
        <w:rPr>
          <w:sz w:val="20"/>
          <w:szCs w:val="20"/>
          <w:color w:val="auto"/>
        </w:rPr>
      </w:pPr>
    </w:p>
    <w:p>
      <w:pPr>
        <w:ind w:right="40" w:firstLine="382"/>
        <w:spacing w:after="0" w:line="260" w:lineRule="auto"/>
        <w:rPr>
          <w:sz w:val="20"/>
          <w:szCs w:val="20"/>
          <w:color w:val="auto"/>
        </w:rPr>
      </w:pPr>
      <w:r>
        <w:rPr>
          <w:rFonts w:ascii="Arial" w:cs="Arial" w:eastAsia="Arial" w:hAnsi="Arial"/>
          <w:sz w:val="14"/>
          <w:szCs w:val="14"/>
          <w:color w:val="auto"/>
        </w:rPr>
        <w:t>The Partnership determines whether it is the primary beneficiary of a VIE at the time it becomes involved with a VIE and reconsiders that conclusion based on changes in events. In assessing whether the Partnership is the primary beneficiary, the Partnership, evaluates its economic interests in the VIE held directly or indirectly by the Partnership. The consolidation analysis under the current guidance can generally be performed qualitatively. However, if it is not readily apparent that the Partnership is not the primary beneficiary, a quantitative analysis would be necessary. Investments and redemptions (either by the Partnership, affiliates of the Partnership, or third-parties) or amendments to the governing documents of the respective Partnership or VIE could affect an entity’s status as a VIE or the determination of the primary beneficiary.</w:t>
      </w:r>
    </w:p>
    <w:p>
      <w:pPr>
        <w:spacing w:after="0" w:line="62" w:lineRule="exact"/>
        <w:rPr>
          <w:sz w:val="20"/>
          <w:szCs w:val="20"/>
          <w:color w:val="auto"/>
        </w:rPr>
      </w:pPr>
    </w:p>
    <w:p>
      <w:pPr>
        <w:ind w:right="100" w:firstLine="382"/>
        <w:spacing w:after="0" w:line="297" w:lineRule="auto"/>
        <w:rPr>
          <w:sz w:val="20"/>
          <w:szCs w:val="20"/>
          <w:color w:val="auto"/>
        </w:rPr>
      </w:pPr>
      <w:r>
        <w:rPr>
          <w:rFonts w:ascii="Arial" w:cs="Arial" w:eastAsia="Arial" w:hAnsi="Arial"/>
          <w:sz w:val="13"/>
          <w:szCs w:val="13"/>
          <w:color w:val="auto"/>
        </w:rPr>
        <w:t>The Partnership has determined that it is the primary beneficiary of SALP, SESL, Forward, and SCLP and hence, consolidates these entities within the consolidated financial statements. The gross assets of these entities were $6.4 million as of September 30, 2022, which is the carrying amount of such financial assets in the consolidated balance sheets. As of September 30, 2022, the Partnership’s maximum exposure to loss is limited to the gross liabilities of $3.4 million, which is the direct obligations of these entities and are not obligations of Salient.</w:t>
      </w:r>
    </w:p>
    <w:p>
      <w:pPr>
        <w:spacing w:after="0" w:line="39" w:lineRule="exact"/>
        <w:rPr>
          <w:sz w:val="20"/>
          <w:szCs w:val="20"/>
          <w:color w:val="auto"/>
        </w:rPr>
      </w:pPr>
    </w:p>
    <w:p>
      <w:pPr>
        <w:ind w:right="340" w:firstLine="382"/>
        <w:spacing w:after="0" w:line="281" w:lineRule="auto"/>
        <w:rPr>
          <w:sz w:val="20"/>
          <w:szCs w:val="20"/>
          <w:color w:val="auto"/>
        </w:rPr>
      </w:pPr>
      <w:r>
        <w:rPr>
          <w:rFonts w:ascii="Arial" w:cs="Arial" w:eastAsia="Arial" w:hAnsi="Arial"/>
          <w:sz w:val="14"/>
          <w:szCs w:val="14"/>
          <w:color w:val="auto"/>
        </w:rPr>
        <w:t>The Partnership’s maximum exposure to loss resulting from its involvement with these entities is based on the unlikely event that all the assets in these entities become worthless and the liabilities remain at full value.</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RELATED PARTY TRANSACTIONS</w:t>
      </w:r>
    </w:p>
    <w:p>
      <w:pPr>
        <w:spacing w:after="0" w:line="98" w:lineRule="exact"/>
        <w:rPr>
          <w:sz w:val="20"/>
          <w:szCs w:val="20"/>
          <w:color w:val="auto"/>
        </w:rPr>
      </w:pPr>
    </w:p>
    <w:p>
      <w:pPr>
        <w:ind w:right="20" w:firstLine="382"/>
        <w:spacing w:after="0" w:line="281" w:lineRule="auto"/>
        <w:rPr>
          <w:sz w:val="20"/>
          <w:szCs w:val="20"/>
          <w:color w:val="auto"/>
        </w:rPr>
      </w:pPr>
      <w:r>
        <w:rPr>
          <w:rFonts w:ascii="Arial" w:cs="Arial" w:eastAsia="Arial" w:hAnsi="Arial"/>
          <w:sz w:val="14"/>
          <w:szCs w:val="14"/>
          <w:color w:val="auto"/>
        </w:rPr>
        <w:t>Salient, through its subsidiaries, serves as advisor to various funds and subplacement agent pursuant to contracts in which it earns management or servicing fees. The total amount of revenues earned under such contracts was $4.9 million and $14.6 million for the three and nine months ended September 30, 2022.</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Sub Debt issued is held by affiliates of the equity investors. Refer to the Debt footnote for further details.</w:t>
      </w:r>
    </w:p>
    <w:p>
      <w:pPr>
        <w:spacing w:after="0" w:line="94" w:lineRule="exact"/>
        <w:rPr>
          <w:sz w:val="20"/>
          <w:szCs w:val="20"/>
          <w:color w:val="auto"/>
        </w:rPr>
      </w:pPr>
    </w:p>
    <w:p>
      <w:pPr>
        <w:ind w:firstLine="382"/>
        <w:spacing w:after="0" w:line="319" w:lineRule="auto"/>
        <w:rPr>
          <w:sz w:val="20"/>
          <w:szCs w:val="20"/>
          <w:color w:val="auto"/>
        </w:rPr>
      </w:pPr>
      <w:r>
        <w:rPr>
          <w:rFonts w:ascii="Arial" w:cs="Arial" w:eastAsia="Arial" w:hAnsi="Arial"/>
          <w:sz w:val="12"/>
          <w:szCs w:val="12"/>
          <w:color w:val="auto"/>
        </w:rPr>
        <w:t>Broadmark Asset Management, LLC ("BAML"), a noncontrolled firm in which Salient holds an equity investment, serves as sub-advisor to the Salient Tactical Plus Fund and Salient Tactical Growth Fund for which it is paid a sub-advisor fee which is calculated daily and payable monthly or quarterly based on each fund’s average daily net assets. $0.6 million and $1.7 million was expensed for BAML subadvisor fees to these funds for the three and nine months ended September 30, 2022. BAML also serves as the subadvisor for some separately managed accounts ("SMA") and unified managed accounts ("UMA"). $0.7 million and $2.0 million was expensed for BAML sub-advisor fees to these SMAs and UMAs in the three and nine months ended September 30, 2022.</w:t>
      </w:r>
    </w:p>
    <w:p>
      <w:pPr>
        <w:spacing w:after="0" w:line="30" w:lineRule="exact"/>
        <w:rPr>
          <w:sz w:val="20"/>
          <w:szCs w:val="20"/>
          <w:color w:val="auto"/>
        </w:rPr>
      </w:pPr>
    </w:p>
    <w:p>
      <w:pPr>
        <w:ind w:firstLine="382"/>
        <w:spacing w:after="0" w:line="260" w:lineRule="auto"/>
        <w:rPr>
          <w:sz w:val="20"/>
          <w:szCs w:val="20"/>
          <w:color w:val="auto"/>
        </w:rPr>
      </w:pPr>
      <w:r>
        <w:rPr>
          <w:rFonts w:ascii="Arial" w:cs="Arial" w:eastAsia="Arial" w:hAnsi="Arial"/>
          <w:sz w:val="14"/>
          <w:szCs w:val="14"/>
          <w:color w:val="auto"/>
        </w:rPr>
        <w:t>Salient entered into partnership agreements with Zarvona Energy, LLC to form Salient Zarvona Energy Fund GP, LP ("Zarvona GP") and its general partner, Salient Zarvona Energy GP, LLC. Zarvona GP, a Delaware limited partnership, is the general partner of the Salient Zarvona Energy Fund, L.P., Salient Zarvona Energy Fund II-A, L.P., Salient Zarvona Energy Fund II-B, L.P., and Chalk II-4 Co-Invest, L.P. (collectively, the "Zarvona Fund Complex") for which it also serves as the advisor and is entitled to a management fee pursuant to the investment management agreements. Salient has a noncontrolling equity interest in the Zarvona Fund Complex. Equity in earnings arising from the Zarvona Fund Complex are included in the consolidated statements of comprehensive loss under the caption “Equity in earnings of unconsolidated affiliates, net.”</w:t>
      </w:r>
    </w:p>
    <w:p>
      <w:pPr>
        <w:spacing w:after="0" w:line="62" w:lineRule="exact"/>
        <w:rPr>
          <w:sz w:val="20"/>
          <w:szCs w:val="20"/>
          <w:color w:val="auto"/>
        </w:rPr>
      </w:pPr>
    </w:p>
    <w:p>
      <w:pPr>
        <w:ind w:right="60" w:firstLine="382"/>
        <w:spacing w:after="0" w:line="281" w:lineRule="auto"/>
        <w:rPr>
          <w:sz w:val="20"/>
          <w:szCs w:val="20"/>
          <w:color w:val="auto"/>
        </w:rPr>
      </w:pPr>
      <w:r>
        <w:rPr>
          <w:rFonts w:ascii="Arial" w:cs="Arial" w:eastAsia="Arial" w:hAnsi="Arial"/>
          <w:sz w:val="14"/>
          <w:szCs w:val="14"/>
          <w:color w:val="auto"/>
        </w:rPr>
        <w:t>Total equity in earnings of unconsolidated affiliates, net of payments to Hightower, included in the statements of comprehensive loss were $0.3 million and $0.9 million for the three and nine months ended September 30, 2022.</w:t>
      </w:r>
    </w:p>
    <w:p>
      <w:pPr>
        <w:spacing w:after="0" w:line="47" w:lineRule="exact"/>
        <w:rPr>
          <w:sz w:val="20"/>
          <w:szCs w:val="20"/>
          <w:color w:val="auto"/>
        </w:rPr>
      </w:pPr>
    </w:p>
    <w:p>
      <w:pPr>
        <w:ind w:right="180" w:firstLine="382"/>
        <w:spacing w:after="0" w:line="281" w:lineRule="auto"/>
        <w:rPr>
          <w:sz w:val="20"/>
          <w:szCs w:val="20"/>
          <w:color w:val="auto"/>
        </w:rPr>
      </w:pPr>
      <w:r>
        <w:rPr>
          <w:rFonts w:ascii="Arial" w:cs="Arial" w:eastAsia="Arial" w:hAnsi="Arial"/>
          <w:sz w:val="14"/>
          <w:szCs w:val="14"/>
          <w:color w:val="auto"/>
        </w:rPr>
        <w:t>Pursuant to a services agreement entered into between Salient and SCM, service fee expense of $0.1 million was recorded in the consolidated statements of comprehensive loss for the nine months ended September 30, 2022.</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balances of receivables from and payables to related parties, investments in unconsolidated affiliates and other investments, for which Salient is the advisor, include the following as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September 30, 2022:</w:t>
      </w:r>
    </w:p>
    <w:p>
      <w:pPr>
        <w:sectPr>
          <w:pgSz w:w="11900" w:h="16838" w:orient="portrait"/>
          <w:cols w:equalWidth="0" w:num="1">
            <w:col w:w="11200"/>
          </w:cols>
          <w:pgMar w:left="300" w:top="978" w:right="3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8"/>
        </w:trPr>
        <w:tc>
          <w:tcPr>
            <w:tcW w:w="9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rPr>
              <w:t>September 30, 2022</w:t>
            </w:r>
          </w:p>
        </w:tc>
      </w:tr>
      <w:tr>
        <w:trPr>
          <w:trHeight w:val="173"/>
        </w:trPr>
        <w:tc>
          <w:tcPr>
            <w:tcW w:w="9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Invetment in unconsolidated affiliates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4,659</w:t>
            </w:r>
          </w:p>
        </w:tc>
      </w:tr>
      <w:tr>
        <w:trPr>
          <w:trHeight w:val="180"/>
        </w:trPr>
        <w:tc>
          <w:tcPr>
            <w:tcW w:w="9160" w:type="dxa"/>
            <w:vAlign w:val="bottom"/>
          </w:tcPr>
          <w:p>
            <w:pPr>
              <w:ind w:left="20"/>
              <w:spacing w:after="0"/>
              <w:rPr>
                <w:sz w:val="20"/>
                <w:szCs w:val="20"/>
                <w:color w:val="auto"/>
              </w:rPr>
            </w:pPr>
            <w:r>
              <w:rPr>
                <w:rFonts w:ascii="Arial" w:cs="Arial" w:eastAsia="Arial" w:hAnsi="Arial"/>
                <w:sz w:val="14"/>
                <w:szCs w:val="14"/>
                <w:color w:val="auto"/>
              </w:rPr>
              <w:t>Other investments</w:t>
            </w:r>
          </w:p>
        </w:tc>
        <w:tc>
          <w:tcPr>
            <w:tcW w:w="3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319</w:t>
            </w:r>
          </w:p>
        </w:tc>
      </w:tr>
      <w:tr>
        <w:trPr>
          <w:trHeight w:val="181"/>
        </w:trPr>
        <w:tc>
          <w:tcPr>
            <w:tcW w:w="9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Receivable from funds, net</w:t>
            </w:r>
          </w:p>
        </w:tc>
        <w:tc>
          <w:tcPr>
            <w:tcW w:w="3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1,483</w:t>
            </w:r>
          </w:p>
        </w:tc>
      </w:tr>
      <w:tr>
        <w:trPr>
          <w:trHeight w:val="180"/>
        </w:trPr>
        <w:tc>
          <w:tcPr>
            <w:tcW w:w="9160" w:type="dxa"/>
            <w:vAlign w:val="bottom"/>
          </w:tcPr>
          <w:p>
            <w:pPr>
              <w:ind w:left="20"/>
              <w:spacing w:after="0"/>
              <w:rPr>
                <w:sz w:val="20"/>
                <w:szCs w:val="20"/>
                <w:color w:val="auto"/>
              </w:rPr>
            </w:pPr>
            <w:r>
              <w:rPr>
                <w:rFonts w:ascii="Arial" w:cs="Arial" w:eastAsia="Arial" w:hAnsi="Arial"/>
                <w:sz w:val="14"/>
                <w:szCs w:val="14"/>
                <w:color w:val="auto"/>
              </w:rPr>
              <w:t>Receivable from (payable to) SCM</w:t>
            </w:r>
          </w:p>
        </w:tc>
        <w:tc>
          <w:tcPr>
            <w:tcW w:w="3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1"/>
        </w:trPr>
        <w:tc>
          <w:tcPr>
            <w:tcW w:w="9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and interest payable to former partners</w:t>
            </w:r>
          </w:p>
        </w:tc>
        <w:tc>
          <w:tcPr>
            <w:tcW w:w="3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4,004</w:t>
            </w:r>
          </w:p>
        </w:tc>
      </w:tr>
      <w:tr>
        <w:trPr>
          <w:trHeight w:val="180"/>
        </w:trPr>
        <w:tc>
          <w:tcPr>
            <w:tcW w:w="9160" w:type="dxa"/>
            <w:vAlign w:val="bottom"/>
          </w:tcPr>
          <w:p>
            <w:pPr>
              <w:ind w:left="20"/>
              <w:spacing w:after="0"/>
              <w:rPr>
                <w:sz w:val="20"/>
                <w:szCs w:val="20"/>
                <w:color w:val="auto"/>
              </w:rPr>
            </w:pPr>
            <w:r>
              <w:rPr>
                <w:rFonts w:ascii="Arial" w:cs="Arial" w:eastAsia="Arial" w:hAnsi="Arial"/>
                <w:sz w:val="14"/>
                <w:szCs w:val="14"/>
                <w:color w:val="auto"/>
              </w:rPr>
              <w:t>Severance payable</w:t>
            </w:r>
          </w:p>
        </w:tc>
        <w:tc>
          <w:tcPr>
            <w:tcW w:w="3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1"/>
        </w:trPr>
        <w:tc>
          <w:tcPr>
            <w:tcW w:w="9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payable to employees</w:t>
            </w:r>
          </w:p>
        </w:tc>
        <w:tc>
          <w:tcPr>
            <w:tcW w:w="3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r>
      <w:tr>
        <w:trPr>
          <w:trHeight w:val="180"/>
        </w:trPr>
        <w:tc>
          <w:tcPr>
            <w:tcW w:w="9160" w:type="dxa"/>
            <w:vAlign w:val="bottom"/>
          </w:tcPr>
          <w:p>
            <w:pPr>
              <w:ind w:left="20"/>
              <w:spacing w:after="0"/>
              <w:rPr>
                <w:sz w:val="20"/>
                <w:szCs w:val="20"/>
                <w:color w:val="auto"/>
              </w:rPr>
            </w:pPr>
            <w:r>
              <w:rPr>
                <w:rFonts w:ascii="Arial" w:cs="Arial" w:eastAsia="Arial" w:hAnsi="Arial"/>
                <w:sz w:val="14"/>
                <w:szCs w:val="14"/>
                <w:color w:val="auto"/>
              </w:rPr>
              <w:t>Sub Debt and interest payable</w:t>
            </w:r>
          </w:p>
        </w:tc>
        <w:tc>
          <w:tcPr>
            <w:tcW w:w="3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41,414</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SUBSEQUENT EVENTS</w:t>
      </w:r>
    </w:p>
    <w:p>
      <w:pPr>
        <w:spacing w:after="0" w:line="98" w:lineRule="exact"/>
        <w:rPr>
          <w:sz w:val="20"/>
          <w:szCs w:val="20"/>
          <w:color w:val="auto"/>
        </w:rPr>
      </w:pPr>
    </w:p>
    <w:p>
      <w:pPr>
        <w:ind w:right="20" w:firstLine="382"/>
        <w:spacing w:after="0" w:line="262" w:lineRule="auto"/>
        <w:rPr>
          <w:sz w:val="20"/>
          <w:szCs w:val="20"/>
          <w:color w:val="auto"/>
        </w:rPr>
      </w:pPr>
      <w:r>
        <w:rPr>
          <w:rFonts w:ascii="Arial" w:cs="Arial" w:eastAsia="Arial" w:hAnsi="Arial"/>
          <w:sz w:val="14"/>
          <w:szCs w:val="14"/>
          <w:color w:val="auto"/>
        </w:rPr>
        <w:t>On November 18, 2022, Westwood Holdings Group, Inc. acquired Salient's asset management business for an upfront payment of $35 million subject to customary adjustments, with deferred payments of up to $25 million over several years, upon satisfaction of certain revenue retention and growth targets. In conjunction, Salient also released all liens in favor of the purchaser and received covenants not to sue. Each of the debt holders had previously agreed that the consummation of the sale transaction and distribution of the net proceeds from the sale constituted full and final satisfaction of the Partnership’s obligation to such debt holders.</w:t>
      </w:r>
    </w:p>
    <w:p>
      <w:pPr>
        <w:sectPr>
          <w:pgSz w:w="11900" w:h="16838" w:orient="portrait"/>
          <w:cols w:equalWidth="0" w:num="1">
            <w:col w:w="11280"/>
          </w:cols>
          <w:pgMar w:left="300" w:top="1009" w:right="31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9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PAGE</w:t>
            </w:r>
          </w:p>
        </w:tc>
      </w:tr>
      <w:tr>
        <w:trPr>
          <w:trHeight w:val="140"/>
        </w:trPr>
        <w:tc>
          <w:tcPr>
            <w:tcW w:w="700" w:type="dxa"/>
            <w:vAlign w:val="bottom"/>
            <w:tcBorders>
              <w:bottom w:val="single" w:sz="8" w:color="0000FF"/>
            </w:tcBorders>
            <w:gridSpan w:val="2"/>
          </w:tcPr>
          <w:p>
            <w:pPr>
              <w:spacing w:after="0" w:line="140" w:lineRule="exact"/>
              <w:rPr>
                <w:sz w:val="20"/>
                <w:szCs w:val="20"/>
                <w:color w:val="auto"/>
              </w:rPr>
            </w:pPr>
            <w:r>
              <w:rPr>
                <w:rFonts w:ascii="Arial" w:cs="Arial" w:eastAsia="Arial" w:hAnsi="Arial"/>
                <w:sz w:val="14"/>
                <w:szCs w:val="14"/>
                <w:color w:val="0000FF"/>
                <w:w w:val="92"/>
              </w:rPr>
              <w:t>Introduction</w:t>
            </w:r>
          </w:p>
        </w:tc>
        <w:tc>
          <w:tcPr>
            <w:tcW w:w="9600" w:type="dxa"/>
            <w:vAlign w:val="bottom"/>
            <w:gridSpan w:val="11"/>
          </w:tcPr>
          <w:p>
            <w:pPr>
              <w:spacing w:after="0"/>
              <w:rPr>
                <w:sz w:val="12"/>
                <w:szCs w:val="12"/>
                <w:color w:val="auto"/>
              </w:rPr>
            </w:pPr>
          </w:p>
        </w:tc>
        <w:tc>
          <w:tcPr>
            <w:tcW w:w="960" w:type="dxa"/>
            <w:vAlign w:val="bottom"/>
          </w:tcPr>
          <w:p>
            <w:pPr>
              <w:jc w:val="right"/>
              <w:spacing w:after="0" w:line="140" w:lineRule="exact"/>
              <w:rPr>
                <w:sz w:val="20"/>
                <w:szCs w:val="20"/>
                <w:color w:val="auto"/>
              </w:rPr>
            </w:pPr>
            <w:r>
              <w:rPr>
                <w:rFonts w:ascii="Arial" w:cs="Arial" w:eastAsia="Arial" w:hAnsi="Arial"/>
                <w:sz w:val="14"/>
                <w:szCs w:val="14"/>
                <w:color w:val="auto"/>
              </w:rPr>
              <w:t>2</w:t>
            </w:r>
          </w:p>
        </w:tc>
      </w:tr>
      <w:tr>
        <w:trPr>
          <w:trHeight w:val="160"/>
        </w:trPr>
        <w:tc>
          <w:tcPr>
            <w:tcW w:w="10300" w:type="dxa"/>
            <w:vAlign w:val="bottom"/>
            <w:gridSpan w:val="13"/>
          </w:tcPr>
          <w:p>
            <w:pPr>
              <w:spacing w:after="0"/>
              <w:rPr>
                <w:sz w:val="20"/>
                <w:szCs w:val="20"/>
                <w:color w:val="auto"/>
              </w:rPr>
            </w:pPr>
            <w:r>
              <w:rPr>
                <w:rFonts w:ascii="Arial" w:cs="Arial" w:eastAsia="Arial" w:hAnsi="Arial"/>
                <w:sz w:val="14"/>
                <w:szCs w:val="14"/>
                <w:color w:val="0000FF"/>
              </w:rPr>
              <w:t>Accounting for the Acquisition</w:t>
            </w: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16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10300" w:type="dxa"/>
            <w:vAlign w:val="bottom"/>
            <w:gridSpan w:val="13"/>
          </w:tcPr>
          <w:p>
            <w:pPr>
              <w:spacing w:after="0"/>
              <w:rPr>
                <w:sz w:val="20"/>
                <w:szCs w:val="20"/>
                <w:color w:val="auto"/>
              </w:rPr>
            </w:pPr>
            <w:r>
              <w:rPr>
                <w:rFonts w:ascii="Arial" w:cs="Arial" w:eastAsia="Arial" w:hAnsi="Arial"/>
                <w:sz w:val="14"/>
                <w:szCs w:val="14"/>
                <w:color w:val="0000FF"/>
              </w:rPr>
              <w:t>Unaudited Pro Forma Condensed Combined Balance Sheet As of September 30, 2022</w:t>
            </w: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164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10300" w:type="dxa"/>
            <w:vAlign w:val="bottom"/>
            <w:gridSpan w:val="13"/>
          </w:tcPr>
          <w:p>
            <w:pPr>
              <w:spacing w:after="0"/>
              <w:rPr>
                <w:sz w:val="20"/>
                <w:szCs w:val="20"/>
                <w:color w:val="auto"/>
              </w:rPr>
            </w:pPr>
            <w:r>
              <w:rPr>
                <w:rFonts w:ascii="Arial" w:cs="Arial" w:eastAsia="Arial" w:hAnsi="Arial"/>
                <w:sz w:val="14"/>
                <w:szCs w:val="14"/>
                <w:color w:val="0000FF"/>
              </w:rPr>
              <w:t>Unaudited Pro Forma Condensed Combined Statement of Operations (For the Nine Months Ended September 30, 2022)</w:t>
            </w: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60"/>
        </w:trPr>
        <w:tc>
          <w:tcPr>
            <w:tcW w:w="63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4"/>
                <w:szCs w:val="14"/>
                <w:color w:val="0000FF"/>
                <w:w w:val="90"/>
              </w:rPr>
              <w:t>Unaudited Pro Forma Condensed Combined Statement of Operations (For the Year Ended December 31, 2021)</w:t>
            </w:r>
          </w:p>
        </w:tc>
        <w:tc>
          <w:tcPr>
            <w:tcW w:w="500" w:type="dxa"/>
            <w:vAlign w:val="bottom"/>
            <w:tcBorders>
              <w:top w:val="single" w:sz="8" w:color="0000FF"/>
            </w:tcBorders>
          </w:tcPr>
          <w:p>
            <w:pPr>
              <w:spacing w:after="0"/>
              <w:rPr>
                <w:sz w:val="13"/>
                <w:szCs w:val="13"/>
                <w:color w:val="auto"/>
              </w:rPr>
            </w:pPr>
          </w:p>
        </w:tc>
        <w:tc>
          <w:tcPr>
            <w:tcW w:w="35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60"/>
        </w:trPr>
        <w:tc>
          <w:tcPr>
            <w:tcW w:w="10300" w:type="dxa"/>
            <w:vAlign w:val="bottom"/>
            <w:gridSpan w:val="13"/>
          </w:tcPr>
          <w:p>
            <w:pPr>
              <w:spacing w:after="0"/>
              <w:rPr>
                <w:sz w:val="20"/>
                <w:szCs w:val="20"/>
                <w:color w:val="auto"/>
              </w:rPr>
            </w:pPr>
            <w:r>
              <w:rPr>
                <w:rFonts w:ascii="Arial" w:cs="Arial" w:eastAsia="Arial" w:hAnsi="Arial"/>
                <w:sz w:val="14"/>
                <w:szCs w:val="14"/>
                <w:color w:val="0000FF"/>
              </w:rPr>
              <w:t>Note 1. Basis of Presentation</w:t>
            </w: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
        </w:trPr>
        <w:tc>
          <w:tcPr>
            <w:tcW w:w="164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10300" w:type="dxa"/>
            <w:vAlign w:val="bottom"/>
            <w:gridSpan w:val="13"/>
          </w:tcPr>
          <w:p>
            <w:pPr>
              <w:spacing w:after="0"/>
              <w:rPr>
                <w:sz w:val="20"/>
                <w:szCs w:val="20"/>
                <w:color w:val="auto"/>
              </w:rPr>
            </w:pPr>
            <w:r>
              <w:rPr>
                <w:rFonts w:ascii="Arial" w:cs="Arial" w:eastAsia="Arial" w:hAnsi="Arial"/>
                <w:sz w:val="14"/>
                <w:szCs w:val="14"/>
                <w:color w:val="0000FF"/>
              </w:rPr>
              <w:t>Note 2. Reclassification Adjustments</w:t>
            </w: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
        </w:trPr>
        <w:tc>
          <w:tcPr>
            <w:tcW w:w="44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92"/>
              </w:rPr>
              <w:t>Note 3.</w:t>
            </w:r>
          </w:p>
        </w:tc>
        <w:tc>
          <w:tcPr>
            <w:tcW w:w="2480" w:type="dxa"/>
            <w:vAlign w:val="bottom"/>
            <w:tcBorders>
              <w:bottom w:val="single" w:sz="8" w:color="0000FF"/>
            </w:tcBorders>
            <w:gridSpan w:val="5"/>
          </w:tcPr>
          <w:p>
            <w:pPr>
              <w:ind w:left="20"/>
              <w:spacing w:after="0"/>
              <w:rPr>
                <w:sz w:val="20"/>
                <w:szCs w:val="20"/>
                <w:color w:val="auto"/>
              </w:rPr>
            </w:pPr>
            <w:r>
              <w:rPr>
                <w:rFonts w:ascii="Arial" w:cs="Arial" w:eastAsia="Arial" w:hAnsi="Arial"/>
                <w:sz w:val="14"/>
                <w:szCs w:val="14"/>
                <w:color w:val="0000FF"/>
                <w:w w:val="91"/>
              </w:rPr>
              <w:t>Other Transaction Accounting Adjustments</w:t>
            </w:r>
          </w:p>
        </w:tc>
        <w:tc>
          <w:tcPr>
            <w:tcW w:w="7380" w:type="dxa"/>
            <w:vAlign w:val="bottom"/>
            <w:gridSpan w:val="7"/>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0"/>
        </w:trPr>
        <w:tc>
          <w:tcPr>
            <w:tcW w:w="440" w:type="dxa"/>
            <w:vAlign w:val="bottom"/>
          </w:tcPr>
          <w:p>
            <w:pPr>
              <w:spacing w:after="0"/>
              <w:rPr>
                <w:sz w:val="20"/>
                <w:szCs w:val="20"/>
                <w:color w:val="auto"/>
              </w:rPr>
            </w:pPr>
            <w:r>
              <w:rPr>
                <w:rFonts w:ascii="Arial" w:cs="Arial" w:eastAsia="Arial" w:hAnsi="Arial"/>
                <w:sz w:val="14"/>
                <w:szCs w:val="14"/>
                <w:color w:val="0000FF"/>
                <w:w w:val="92"/>
              </w:rPr>
              <w:t>Note 4.</w:t>
            </w:r>
          </w:p>
        </w:tc>
        <w:tc>
          <w:tcPr>
            <w:tcW w:w="9860" w:type="dxa"/>
            <w:vAlign w:val="bottom"/>
            <w:gridSpan w:val="12"/>
          </w:tcPr>
          <w:p>
            <w:pPr>
              <w:ind w:left="20"/>
              <w:spacing w:after="0"/>
              <w:rPr>
                <w:sz w:val="20"/>
                <w:szCs w:val="20"/>
                <w:color w:val="auto"/>
              </w:rPr>
            </w:pPr>
            <w:r>
              <w:rPr>
                <w:rFonts w:ascii="Arial" w:cs="Arial" w:eastAsia="Arial" w:hAnsi="Arial"/>
                <w:sz w:val="14"/>
                <w:szCs w:val="14"/>
                <w:color w:val="0000FF"/>
              </w:rPr>
              <w:t>Calculation of Estimated Acquisition Consideration and Preliminary Purchase Price Allocation</w:t>
            </w: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0"/>
        </w:trPr>
        <w:tc>
          <w:tcPr>
            <w:tcW w:w="440" w:type="dxa"/>
            <w:vAlign w:val="bottom"/>
            <w:tcBorders>
              <w:top w:val="single" w:sz="8" w:color="0000FF"/>
            </w:tcBorders>
          </w:tcPr>
          <w:p>
            <w:pPr>
              <w:spacing w:after="0"/>
              <w:rPr>
                <w:sz w:val="20"/>
                <w:szCs w:val="20"/>
                <w:color w:val="auto"/>
              </w:rPr>
            </w:pPr>
            <w:r>
              <w:rPr>
                <w:rFonts w:ascii="Arial" w:cs="Arial" w:eastAsia="Arial" w:hAnsi="Arial"/>
                <w:sz w:val="14"/>
                <w:szCs w:val="14"/>
                <w:color w:val="0000FF"/>
                <w:w w:val="92"/>
              </w:rPr>
              <w:t>Note 5.</w:t>
            </w:r>
          </w:p>
        </w:tc>
        <w:tc>
          <w:tcPr>
            <w:tcW w:w="5380" w:type="dxa"/>
            <w:vAlign w:val="bottom"/>
            <w:tcBorders>
              <w:top w:val="single" w:sz="8" w:color="0000FF"/>
            </w:tcBorders>
            <w:gridSpan w:val="9"/>
          </w:tcPr>
          <w:p>
            <w:pPr>
              <w:ind w:left="20"/>
              <w:spacing w:after="0"/>
              <w:rPr>
                <w:sz w:val="20"/>
                <w:szCs w:val="20"/>
                <w:color w:val="auto"/>
              </w:rPr>
            </w:pPr>
            <w:r>
              <w:rPr>
                <w:rFonts w:ascii="Arial" w:cs="Arial" w:eastAsia="Arial" w:hAnsi="Arial"/>
                <w:sz w:val="14"/>
                <w:szCs w:val="14"/>
                <w:color w:val="0000FF"/>
              </w:rPr>
              <w:t>Transaction Accounting Adjustments for Condensed Combined Balance Sheet</w:t>
            </w:r>
          </w:p>
        </w:tc>
        <w:tc>
          <w:tcPr>
            <w:tcW w:w="4480" w:type="dxa"/>
            <w:vAlign w:val="bottom"/>
            <w:gridSpan w:val="3"/>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
        </w:trPr>
        <w:tc>
          <w:tcPr>
            <w:tcW w:w="440" w:type="dxa"/>
            <w:vAlign w:val="bottom"/>
            <w:shd w:val="clear" w:color="auto" w:fill="0000FF"/>
          </w:tcPr>
          <w:p>
            <w:pPr>
              <w:spacing w:after="0" w:line="20" w:lineRule="exact"/>
              <w:rPr>
                <w:sz w:val="1"/>
                <w:szCs w:val="1"/>
                <w:color w:val="auto"/>
              </w:rPr>
            </w:pPr>
          </w:p>
        </w:tc>
        <w:tc>
          <w:tcPr>
            <w:tcW w:w="4440" w:type="dxa"/>
            <w:vAlign w:val="bottom"/>
            <w:gridSpan w:val="7"/>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92"/>
              </w:rPr>
              <w:t>Note 6.</w:t>
            </w:r>
          </w:p>
        </w:tc>
        <w:tc>
          <w:tcPr>
            <w:tcW w:w="5080" w:type="dxa"/>
            <w:vAlign w:val="bottom"/>
            <w:tcBorders>
              <w:bottom w:val="single" w:sz="8" w:color="0000FF"/>
            </w:tcBorders>
            <w:gridSpan w:val="8"/>
          </w:tcPr>
          <w:p>
            <w:pPr>
              <w:ind w:left="20"/>
              <w:spacing w:after="0"/>
              <w:rPr>
                <w:sz w:val="20"/>
                <w:szCs w:val="20"/>
                <w:color w:val="auto"/>
              </w:rPr>
            </w:pPr>
            <w:r>
              <w:rPr>
                <w:rFonts w:ascii="Arial" w:cs="Arial" w:eastAsia="Arial" w:hAnsi="Arial"/>
                <w:sz w:val="14"/>
                <w:szCs w:val="14"/>
                <w:color w:val="0000FF"/>
                <w:w w:val="91"/>
              </w:rPr>
              <w:t>Transaction Accounting Adjustments for Condensed Combined Statements of Operations</w:t>
            </w:r>
          </w:p>
        </w:tc>
        <w:tc>
          <w:tcPr>
            <w:tcW w:w="4780" w:type="dxa"/>
            <w:vAlign w:val="bottom"/>
            <w:gridSpan w:val="4"/>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w:t>
            </w:r>
          </w:p>
        </w:tc>
      </w:tr>
    </w:tbl>
    <w:p>
      <w:pPr>
        <w:sectPr>
          <w:pgSz w:w="11900" w:h="16838" w:orient="portrait"/>
          <w:cols w:equalWidth="0" w:num="1">
            <w:col w:w="11260"/>
          </w:cols>
          <w:pgMar w:left="320" w:top="1123" w:right="319" w:bottom="1440" w:gutter="0" w:footer="0" w:header="0"/>
        </w:sectPr>
      </w:pPr>
    </w:p>
    <w:bookmarkStart w:id="57" w:name="page58"/>
    <w:bookmarkEnd w:id="57"/>
    <w:p>
      <w:pPr>
        <w:ind w:left="3800"/>
        <w:spacing w:after="0"/>
        <w:rPr>
          <w:sz w:val="20"/>
          <w:szCs w:val="20"/>
          <w:color w:val="auto"/>
        </w:rPr>
      </w:pPr>
      <w:r>
        <w:rPr>
          <w:rFonts w:ascii="Arial" w:cs="Arial" w:eastAsia="Arial" w:hAnsi="Arial"/>
          <w:sz w:val="14"/>
          <w:szCs w:val="14"/>
          <w:b w:val="1"/>
          <w:bCs w:val="1"/>
          <w:color w:val="auto"/>
        </w:rPr>
        <w:t>Unaudited Pro Forma Condensed Combined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Introduction</w:t>
      </w:r>
    </w:p>
    <w:p>
      <w:pPr>
        <w:spacing w:after="0" w:line="98" w:lineRule="exact"/>
        <w:rPr>
          <w:sz w:val="20"/>
          <w:szCs w:val="20"/>
          <w:color w:val="auto"/>
        </w:rPr>
      </w:pPr>
    </w:p>
    <w:p>
      <w:pPr>
        <w:jc w:val="both"/>
        <w:ind w:right="20" w:firstLine="382"/>
        <w:spacing w:after="0" w:line="267" w:lineRule="auto"/>
        <w:rPr>
          <w:sz w:val="20"/>
          <w:szCs w:val="20"/>
          <w:color w:val="auto"/>
        </w:rPr>
      </w:pPr>
      <w:r>
        <w:rPr>
          <w:rFonts w:ascii="Arial" w:cs="Arial" w:eastAsia="Arial" w:hAnsi="Arial"/>
          <w:sz w:val="14"/>
          <w:szCs w:val="14"/>
          <w:color w:val="auto"/>
        </w:rPr>
        <w:t>On May 25, 2022, Westwood Holdings Group, Inc. (the “Company” or “Westwood”), a Delaware corporation, Salient Capital Management, LLC, a Delaware limited liability company, Salient Partners, L.P. (“Salient Partners”), a Delaware limited partnership, the other Sellers as listed on Annex A attached thereto entered into a Purchase Agreement (the “Purchase Agreement”), pursuant to which the Company agreed to purchase Salient Partners’ asset management business (the “Business”).</w:t>
      </w:r>
    </w:p>
    <w:p>
      <w:pPr>
        <w:spacing w:after="0" w:line="57" w:lineRule="exact"/>
        <w:rPr>
          <w:sz w:val="20"/>
          <w:szCs w:val="20"/>
          <w:color w:val="auto"/>
        </w:rPr>
      </w:pPr>
    </w:p>
    <w:p>
      <w:pPr>
        <w:ind w:firstLine="382"/>
        <w:spacing w:after="0" w:line="260" w:lineRule="auto"/>
        <w:rPr>
          <w:sz w:val="20"/>
          <w:szCs w:val="20"/>
          <w:color w:val="auto"/>
        </w:rPr>
      </w:pPr>
      <w:r>
        <w:rPr>
          <w:rFonts w:ascii="Arial" w:cs="Arial" w:eastAsia="Arial" w:hAnsi="Arial"/>
          <w:sz w:val="14"/>
          <w:szCs w:val="14"/>
          <w:color w:val="auto"/>
        </w:rPr>
        <w:t>Salient Partners is a Houston-based real asset and investment firm that offered a suite of strategies focused on energy and infrastructure, real estate and tactical alternative investments. The firm had $4.5 billion in assets under management as of November 18, 2022. Pursuant to the Purchase Agreement, Westwood purchased substantially all of the properties, rights and assets and assume certain liabilities of the Business (the “Acquisition”). Westwood acquired Salient Partners’ four distinct investment capabilities: Energy Infrastructure, Tactical Equity, Real Estate, and Private Investments, as defined in the Company’s Form 8-K filed on May 25, 2022. The Acquisition closed on November 18, 2022, and Westwood is accounting for this asset acquisition as a business combination.</w:t>
      </w:r>
    </w:p>
    <w:p>
      <w:pPr>
        <w:spacing w:after="0" w:line="62" w:lineRule="exact"/>
        <w:rPr>
          <w:sz w:val="20"/>
          <w:szCs w:val="20"/>
          <w:color w:val="auto"/>
        </w:rPr>
      </w:pPr>
    </w:p>
    <w:p>
      <w:pPr>
        <w:jc w:val="both"/>
        <w:ind w:right="360" w:firstLine="382"/>
        <w:spacing w:after="0" w:line="267" w:lineRule="auto"/>
        <w:rPr>
          <w:sz w:val="20"/>
          <w:szCs w:val="20"/>
          <w:color w:val="auto"/>
        </w:rPr>
      </w:pPr>
      <w:r>
        <w:rPr>
          <w:rFonts w:ascii="Arial" w:cs="Arial" w:eastAsia="Arial" w:hAnsi="Arial"/>
          <w:sz w:val="14"/>
          <w:szCs w:val="14"/>
          <w:color w:val="auto"/>
        </w:rPr>
        <w:t>In order to provide additional cash for the purchase of the Business, in November 2022 the Company liquidated certain investments (“Investment Liquidation”) within its portfolio. These investments primarily consisted of liquid investments held in United States Treasury Bills. The Investment Liquidation resulted in the Company receiving cash proceeds of approximately $36.7 million, a portion of which will be used to fund the Acquisition.</w:t>
      </w:r>
    </w:p>
    <w:p>
      <w:pPr>
        <w:spacing w:after="0" w:line="57" w:lineRule="exact"/>
        <w:rPr>
          <w:sz w:val="20"/>
          <w:szCs w:val="20"/>
          <w:color w:val="auto"/>
        </w:rPr>
      </w:pPr>
    </w:p>
    <w:p>
      <w:pPr>
        <w:ind w:right="60" w:firstLine="382"/>
        <w:spacing w:after="0" w:line="297" w:lineRule="auto"/>
        <w:rPr>
          <w:sz w:val="20"/>
          <w:szCs w:val="20"/>
          <w:color w:val="auto"/>
        </w:rPr>
      </w:pPr>
      <w:r>
        <w:rPr>
          <w:rFonts w:ascii="Arial" w:cs="Arial" w:eastAsia="Arial" w:hAnsi="Arial"/>
          <w:sz w:val="13"/>
          <w:szCs w:val="13"/>
          <w:color w:val="auto"/>
        </w:rPr>
        <w:t>The following unaudited pro forma combined financial information has been prepared in accordance with Article 11 of Regulation S-X. The unaudited pro forma condensed combined balance sheet as of September 30, 2022 gives effect to the Acquisition and Investment Liquidation as if the transactions had been completed on September 30, 2022 and combines the unaudited condensed consolidated balance sheet of Westwood as of September 30, 2022 with the unaudited condensed consolidated balance sheet of Salient Partners as of September 30, 2022.</w:t>
      </w:r>
    </w:p>
    <w:p>
      <w:pPr>
        <w:spacing w:after="0" w:line="39" w:lineRule="exact"/>
        <w:rPr>
          <w:sz w:val="20"/>
          <w:szCs w:val="20"/>
          <w:color w:val="auto"/>
        </w:rPr>
      </w:pPr>
    </w:p>
    <w:p>
      <w:pPr>
        <w:ind w:firstLine="382"/>
        <w:spacing w:after="0" w:line="282" w:lineRule="auto"/>
        <w:rPr>
          <w:sz w:val="20"/>
          <w:szCs w:val="20"/>
          <w:color w:val="auto"/>
        </w:rPr>
      </w:pPr>
      <w:r>
        <w:rPr>
          <w:rFonts w:ascii="Arial" w:cs="Arial" w:eastAsia="Arial" w:hAnsi="Arial"/>
          <w:sz w:val="13"/>
          <w:szCs w:val="13"/>
          <w:color w:val="auto"/>
        </w:rPr>
        <w:t>The unaudited pro forma condensed combined statements of operations for the nine months ended September 30, 2022 and the year ended December 31, 2021 give effect to the Acquisition and Investment Liquidation as if they had occurred on January 1, 2021, the beginning of the earliest period presented, and combines the historical results of Westwood and Salient Partners. The unaudited pro forma condensed combined statement of operations for the nine months ended September 30, 2022 combines the unaudited condensed consolidated statement of operations of Westwood for the nine months ended September 30, 2022, and the unaudited condensed consolidated statement of operations of Salient Partners for the nine months ended September 30, 2022. The unaudited pro forma condensed combined statement of operations for the year ended December 31, 2021 combines the audited consolidated statement of operations of Westwood for the year ended December 31, 2021 with the audited consolidated statement of operations of Salient Partners for the year ended December 31, 2021.</w:t>
      </w:r>
    </w:p>
    <w:p>
      <w:pPr>
        <w:spacing w:after="0" w:line="49" w:lineRule="exact"/>
        <w:rPr>
          <w:sz w:val="20"/>
          <w:szCs w:val="20"/>
          <w:color w:val="auto"/>
        </w:rPr>
      </w:pPr>
    </w:p>
    <w:p>
      <w:pPr>
        <w:ind w:right="80" w:firstLine="382"/>
        <w:spacing w:after="0" w:line="262" w:lineRule="auto"/>
        <w:rPr>
          <w:sz w:val="20"/>
          <w:szCs w:val="20"/>
          <w:color w:val="auto"/>
        </w:rPr>
      </w:pPr>
      <w:r>
        <w:rPr>
          <w:rFonts w:ascii="Arial" w:cs="Arial" w:eastAsia="Arial" w:hAnsi="Arial"/>
          <w:sz w:val="14"/>
          <w:szCs w:val="14"/>
          <w:color w:val="auto"/>
        </w:rPr>
        <w:t>The historical condensed consolidated financial statements of Westwood and the historical condensed consolidated financial statements of Salient Partners have been adjusted in the accompanying unaudited pro forma condensed combined financial information to give effect to pro forma events that are transaction accounting adjustments which are necessary to account for the Acquisition, in accordance with accounting principles generally accepted in the United States (“U.S. GAAP”). The unaudited pro forma adjustments are based upon available information and certain assumptions that our management believes are reasonable.</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unaudited pro forma condensed combined financial information should be read in conjunction with:</w:t>
      </w:r>
    </w:p>
    <w:p>
      <w:pPr>
        <w:spacing w:after="0" w:line="94" w:lineRule="exact"/>
        <w:rPr>
          <w:sz w:val="20"/>
          <w:szCs w:val="20"/>
          <w:color w:val="auto"/>
        </w:rPr>
      </w:pPr>
    </w:p>
    <w:p>
      <w:pPr>
        <w:ind w:left="500" w:hanging="240"/>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accompanying notes to the unaudited pro forma condensed combined financial information;</w:t>
      </w:r>
    </w:p>
    <w:p>
      <w:pPr>
        <w:spacing w:after="0" w:line="93" w:lineRule="exact"/>
        <w:rPr>
          <w:rFonts w:ascii="Arial" w:cs="Arial" w:eastAsia="Arial" w:hAnsi="Arial"/>
          <w:sz w:val="14"/>
          <w:szCs w:val="14"/>
          <w:color w:val="auto"/>
        </w:rPr>
      </w:pPr>
    </w:p>
    <w:p>
      <w:pPr>
        <w:ind w:left="520" w:right="340" w:hanging="260"/>
        <w:spacing w:after="0" w:line="281"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separate unaudited condensed consolidated financial statements of Westwood as of and for the nine months ended September 30, 2022 and the related notes, included in Westwood's Quarterly Report on Form 10-Q for the nine months ended September 30, 2022;</w:t>
      </w:r>
    </w:p>
    <w:p>
      <w:pPr>
        <w:spacing w:after="0" w:line="47" w:lineRule="exact"/>
        <w:rPr>
          <w:rFonts w:ascii="Arial" w:cs="Arial" w:eastAsia="Arial" w:hAnsi="Arial"/>
          <w:sz w:val="14"/>
          <w:szCs w:val="14"/>
          <w:color w:val="auto"/>
        </w:rPr>
      </w:pPr>
    </w:p>
    <w:p>
      <w:pPr>
        <w:ind w:left="520" w:right="200" w:hanging="260"/>
        <w:spacing w:after="0" w:line="281" w:lineRule="auto"/>
        <w:tabs>
          <w:tab w:leader="none" w:pos="512"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separate audited consolidated financial statements of Westwood as of and for the year ended December 31, 2021 and the related notes, included in Westwood's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1324" w:right="319" w:bottom="1440" w:gutter="0" w:footer="0" w:header="0"/>
        </w:sectPr>
      </w:pPr>
    </w:p>
    <w:bookmarkStart w:id="58" w:name="page59"/>
    <w:bookmarkEnd w:id="58"/>
    <w:p>
      <w:pPr>
        <w:ind w:left="520" w:hanging="260"/>
        <w:spacing w:after="0"/>
        <w:tabs>
          <w:tab w:leader="none" w:pos="5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separate unaudited condensed consolidated financial information of Salient Partners as of and for the nine months ended September 30, 2022, filed as Exhibit 99.2 to this Form 8-K/A;</w:t>
      </w:r>
    </w:p>
    <w:p>
      <w:pPr>
        <w:spacing w:after="0" w:line="116" w:lineRule="exact"/>
        <w:rPr>
          <w:rFonts w:ascii="Arial" w:cs="Arial" w:eastAsia="Arial" w:hAnsi="Arial"/>
          <w:sz w:val="12"/>
          <w:szCs w:val="12"/>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separate audited consolidated financial statements of Salient Partners as of and for the year ended December 31, 2021 and the related notes, filed as Exhibit 99.1 to this Form 8-K/A.</w:t>
      </w:r>
    </w:p>
    <w:p>
      <w:pPr>
        <w:spacing w:after="0" w:line="9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b w:val="1"/>
          <w:bCs w:val="1"/>
          <w:color w:val="auto"/>
        </w:rPr>
        <w:t>Accounting for the Acquisition</w:t>
      </w:r>
    </w:p>
    <w:p>
      <w:pPr>
        <w:spacing w:after="0" w:line="98" w:lineRule="exact"/>
        <w:rPr>
          <w:sz w:val="20"/>
          <w:szCs w:val="20"/>
          <w:color w:val="auto"/>
        </w:rPr>
      </w:pPr>
    </w:p>
    <w:p>
      <w:pPr>
        <w:ind w:right="60" w:firstLine="382"/>
        <w:spacing w:after="0" w:line="267" w:lineRule="auto"/>
        <w:rPr>
          <w:sz w:val="20"/>
          <w:szCs w:val="20"/>
          <w:color w:val="auto"/>
        </w:rPr>
      </w:pPr>
      <w:r>
        <w:rPr>
          <w:rFonts w:ascii="Arial" w:cs="Arial" w:eastAsia="Arial" w:hAnsi="Arial"/>
          <w:sz w:val="14"/>
          <w:szCs w:val="14"/>
          <w:color w:val="auto"/>
        </w:rPr>
        <w:t>The Acquisition is being accounted for as a business combination using the acquisition method with Westwood as the accounting acquirer in accordance with Accounting Standards Codification (“ASC”) Topic 805, Business Combinations. Under this method of accounting, the aggregate purchase consideration will be allocated to Salient Partner’s assets acquired and liabilities assumed based upon their estimated fair values at the date of completion of the Acquisition.</w:t>
      </w:r>
    </w:p>
    <w:p>
      <w:pPr>
        <w:spacing w:after="0" w:line="57" w:lineRule="exact"/>
        <w:rPr>
          <w:sz w:val="20"/>
          <w:szCs w:val="20"/>
          <w:color w:val="auto"/>
        </w:rPr>
      </w:pPr>
    </w:p>
    <w:p>
      <w:pPr>
        <w:ind w:firstLine="382"/>
        <w:spacing w:after="0" w:line="260" w:lineRule="auto"/>
        <w:rPr>
          <w:sz w:val="20"/>
          <w:szCs w:val="20"/>
          <w:color w:val="auto"/>
        </w:rPr>
      </w:pPr>
      <w:r>
        <w:rPr>
          <w:rFonts w:ascii="Arial" w:cs="Arial" w:eastAsia="Arial" w:hAnsi="Arial"/>
          <w:sz w:val="14"/>
          <w:szCs w:val="14"/>
          <w:color w:val="auto"/>
        </w:rPr>
        <w:t>The process of valuing the net assets of Salient Partners immediately prior to the Acquisition, as well as evaluating accounting policies for conformity, is preliminary. Any excess between the estimated fair value of the consideration transferred and the estimated fair value of the assets acquired, and liabilities assumed will be recorded as goodwill. Accordingly, the aggregate consideration allocation and related adjustments reflected in the unaudited pro forma condensed combined financial information are preliminary and subject to revision based on a final determination of the fair value of Salient Partners’ net assets and certain elements of Westwood’s consideration transferred. Amounts for both entities are the best estimate based on information available at the time of the analysis. Refer to Note 1—Basis of Presentation below for more information.</w:t>
      </w:r>
    </w:p>
    <w:p>
      <w:pPr>
        <w:spacing w:after="0" w:line="62" w:lineRule="exact"/>
        <w:rPr>
          <w:sz w:val="20"/>
          <w:szCs w:val="20"/>
          <w:color w:val="auto"/>
        </w:rPr>
      </w:pPr>
    </w:p>
    <w:p>
      <w:pPr>
        <w:ind w:right="100" w:firstLine="382"/>
        <w:spacing w:after="0" w:line="262" w:lineRule="auto"/>
        <w:rPr>
          <w:sz w:val="20"/>
          <w:szCs w:val="20"/>
          <w:color w:val="auto"/>
        </w:rPr>
      </w:pPr>
      <w:r>
        <w:rPr>
          <w:rFonts w:ascii="Arial" w:cs="Arial" w:eastAsia="Arial" w:hAnsi="Arial"/>
          <w:sz w:val="14"/>
          <w:szCs w:val="14"/>
          <w:color w:val="auto"/>
        </w:rPr>
        <w:t>The unaudited pro forma condensed combined financial information has been prepared for illustrative purposes only to reflect the Acquisition related pro forma adjustments, and is not necessarily indicative of what the combined company’s financial position or results of operations actually would have been had the purchase occurred as of the dates indicated. The pro forma adjustments are based on information available at the time of the filing, and on certain assumptions that Westwood believes are reasonable. The unaudited pro forma condensed combined financial information also should not be considered indicative of the future results of operations or financial position of Westwood.</w:t>
      </w:r>
    </w:p>
    <w:p>
      <w:pPr>
        <w:spacing w:after="0" w:line="61" w:lineRule="exact"/>
        <w:rPr>
          <w:sz w:val="20"/>
          <w:szCs w:val="20"/>
          <w:color w:val="auto"/>
        </w:rPr>
      </w:pPr>
    </w:p>
    <w:p>
      <w:pPr>
        <w:ind w:right="300" w:firstLine="382"/>
        <w:spacing w:after="0" w:line="281" w:lineRule="auto"/>
        <w:rPr>
          <w:sz w:val="20"/>
          <w:szCs w:val="20"/>
          <w:color w:val="auto"/>
        </w:rPr>
      </w:pPr>
      <w:r>
        <w:rPr>
          <w:rFonts w:ascii="Arial" w:cs="Arial" w:eastAsia="Arial" w:hAnsi="Arial"/>
          <w:sz w:val="14"/>
          <w:szCs w:val="14"/>
          <w:color w:val="auto"/>
        </w:rPr>
        <w:t>The reclassification and transaction accounting adjustments presented within the unaudited condensed combined financial information are subject to change. As additional information is obtained, final values may be materially different than the amounts shown within the unaudited pro forma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80"/>
          </w:cols>
          <w:pgMar w:left="300" w:top="1232" w:right="419" w:bottom="1440" w:gutter="0" w:footer="0" w:header="0"/>
        </w:sectPr>
      </w:pPr>
    </w:p>
    <w:bookmarkStart w:id="59" w:name="page60"/>
    <w:bookmarkEnd w:id="59"/>
    <w:p>
      <w:pPr>
        <w:jc w:val="center"/>
        <w:spacing w:after="0"/>
        <w:rPr>
          <w:sz w:val="20"/>
          <w:szCs w:val="20"/>
          <w:color w:val="auto"/>
        </w:rPr>
      </w:pPr>
      <w:r>
        <w:rPr>
          <w:rFonts w:ascii="Arial" w:cs="Arial" w:eastAsia="Arial" w:hAnsi="Arial"/>
          <w:sz w:val="11"/>
          <w:szCs w:val="11"/>
          <w:b w:val="1"/>
          <w:bCs w:val="1"/>
          <w:color w:val="auto"/>
        </w:rPr>
        <w:t>UNAUDITED PRO FORMA CONDENSED COMBINED BALANCE SHEET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As of September 30, 2022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(in thousands, except per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40" w:type="dxa"/>
            <w:vAlign w:val="bottom"/>
            <w:gridSpan w:val="4"/>
          </w:tcPr>
          <w:p>
            <w:pPr>
              <w:ind w:left="80"/>
              <w:spacing w:after="0"/>
              <w:rPr>
                <w:sz w:val="20"/>
                <w:szCs w:val="20"/>
                <w:color w:val="auto"/>
              </w:rPr>
            </w:pPr>
            <w:r>
              <w:rPr>
                <w:rFonts w:ascii="Arial" w:cs="Arial" w:eastAsia="Arial" w:hAnsi="Arial"/>
                <w:sz w:val="13"/>
                <w:szCs w:val="13"/>
                <w:b w:val="1"/>
                <w:bCs w:val="1"/>
                <w:color w:val="auto"/>
              </w:rPr>
              <w:t>Historical</w:t>
            </w: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320"/>
              <w:spacing w:after="0"/>
              <w:rPr>
                <w:sz w:val="20"/>
                <w:szCs w:val="20"/>
                <w:color w:val="auto"/>
              </w:rPr>
            </w:pPr>
            <w:r>
              <w:rPr>
                <w:rFonts w:ascii="Arial" w:cs="Arial" w:eastAsia="Arial" w:hAnsi="Arial"/>
                <w:sz w:val="13"/>
                <w:szCs w:val="13"/>
                <w:b w:val="1"/>
                <w:bCs w:val="1"/>
                <w:color w:val="auto"/>
              </w:rPr>
              <w:t>Westwood</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tcPr>
          <w:p>
            <w:pPr>
              <w:jc w:val="center"/>
              <w:ind w:right="20"/>
              <w:spacing w:after="0" w:line="123" w:lineRule="exact"/>
              <w:rPr>
                <w:sz w:val="20"/>
                <w:szCs w:val="20"/>
                <w:color w:val="auto"/>
              </w:rPr>
            </w:pPr>
            <w:r>
              <w:rPr>
                <w:rFonts w:ascii="Arial" w:cs="Arial" w:eastAsia="Arial" w:hAnsi="Arial"/>
                <w:sz w:val="13"/>
                <w:szCs w:val="13"/>
                <w:b w:val="1"/>
                <w:bCs w:val="1"/>
                <w:color w:val="auto"/>
                <w:w w:val="87"/>
              </w:rPr>
              <w:t>Salient Partners Reclassified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center"/>
              <w:ind w:right="300"/>
              <w:spacing w:after="0" w:line="123" w:lineRule="exact"/>
              <w:rPr>
                <w:sz w:val="20"/>
                <w:szCs w:val="20"/>
                <w:color w:val="auto"/>
              </w:rPr>
            </w:pPr>
            <w:r>
              <w:rPr>
                <w:rFonts w:ascii="Arial" w:cs="Arial" w:eastAsia="Arial" w:hAnsi="Arial"/>
                <w:sz w:val="13"/>
                <w:szCs w:val="13"/>
                <w:b w:val="1"/>
                <w:bCs w:val="1"/>
                <w:color w:val="auto"/>
                <w:w w:val="91"/>
              </w:rPr>
              <w:t>Other Transaction</w:t>
            </w:r>
          </w:p>
        </w:tc>
        <w:tc>
          <w:tcPr>
            <w:tcW w:w="100" w:type="dxa"/>
            <w:vAlign w:val="bottom"/>
          </w:tcPr>
          <w:p>
            <w:pPr>
              <w:spacing w:after="0"/>
              <w:rPr>
                <w:sz w:val="10"/>
                <w:szCs w:val="10"/>
                <w:color w:val="auto"/>
              </w:rPr>
            </w:pPr>
          </w:p>
        </w:tc>
        <w:tc>
          <w:tcPr>
            <w:tcW w:w="1400" w:type="dxa"/>
            <w:vAlign w:val="bottom"/>
          </w:tcPr>
          <w:p>
            <w:pPr>
              <w:jc w:val="right"/>
              <w:ind w:right="40"/>
              <w:spacing w:after="0" w:line="123" w:lineRule="exact"/>
              <w:rPr>
                <w:sz w:val="20"/>
                <w:szCs w:val="20"/>
                <w:color w:val="auto"/>
              </w:rPr>
            </w:pPr>
            <w:r>
              <w:rPr>
                <w:rFonts w:ascii="Arial" w:cs="Arial" w:eastAsia="Arial" w:hAnsi="Arial"/>
                <w:sz w:val="13"/>
                <w:szCs w:val="13"/>
                <w:b w:val="1"/>
                <w:bCs w:val="1"/>
                <w:color w:val="auto"/>
                <w:w w:val="85"/>
              </w:rPr>
              <w:t>Transaction Accounting</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right"/>
              <w:ind w:right="80"/>
              <w:spacing w:after="0"/>
              <w:rPr>
                <w:sz w:val="20"/>
                <w:szCs w:val="20"/>
                <w:color w:val="auto"/>
              </w:rPr>
            </w:pPr>
            <w:r>
              <w:rPr>
                <w:rFonts w:ascii="Arial" w:cs="Arial" w:eastAsia="Arial" w:hAnsi="Arial"/>
                <w:sz w:val="13"/>
                <w:szCs w:val="13"/>
                <w:b w:val="1"/>
                <w:bCs w:val="1"/>
                <w:color w:val="auto"/>
                <w:w w:val="92"/>
              </w:rPr>
              <w:t>Pro Forma Combined</w:t>
            </w:r>
          </w:p>
        </w:tc>
        <w:tc>
          <w:tcPr>
            <w:tcW w:w="0" w:type="dxa"/>
            <w:vAlign w:val="bottom"/>
          </w:tcPr>
          <w:p>
            <w:pPr>
              <w:spacing w:after="0"/>
              <w:rPr>
                <w:sz w:val="1"/>
                <w:szCs w:val="1"/>
                <w:color w:val="auto"/>
              </w:rPr>
            </w:pPr>
          </w:p>
        </w:tc>
      </w:tr>
      <w:tr>
        <w:trPr>
          <w:trHeight w:val="165"/>
        </w:trPr>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(Note 2)</w:t>
            </w:r>
          </w:p>
        </w:tc>
        <w:tc>
          <w:tcPr>
            <w:tcW w:w="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Accounting Adjustments</w:t>
            </w:r>
          </w:p>
        </w:tc>
        <w:tc>
          <w:tcPr>
            <w:tcW w:w="100" w:type="dxa"/>
            <w:vAlign w:val="bottom"/>
          </w:tcPr>
          <w:p>
            <w:pPr>
              <w:spacing w:after="0"/>
              <w:rPr>
                <w:sz w:val="14"/>
                <w:szCs w:val="14"/>
                <w:color w:val="auto"/>
              </w:rPr>
            </w:pPr>
          </w:p>
        </w:tc>
        <w:tc>
          <w:tcPr>
            <w:tcW w:w="1400" w:type="dxa"/>
            <w:vAlign w:val="bottom"/>
          </w:tcPr>
          <w:p>
            <w:pPr>
              <w:jc w:val="right"/>
              <w:ind w:right="340"/>
              <w:spacing w:after="0"/>
              <w:rPr>
                <w:sz w:val="20"/>
                <w:szCs w:val="20"/>
                <w:color w:val="auto"/>
              </w:rPr>
            </w:pPr>
            <w:r>
              <w:rPr>
                <w:rFonts w:ascii="Arial" w:cs="Arial" w:eastAsia="Arial" w:hAnsi="Arial"/>
                <w:sz w:val="13"/>
                <w:szCs w:val="13"/>
                <w:b w:val="1"/>
                <w:bCs w:val="1"/>
                <w:color w:val="auto"/>
              </w:rPr>
              <w:t>Adjustments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440" w:type="dxa"/>
            <w:vAlign w:val="bottom"/>
          </w:tcPr>
          <w:p>
            <w:pPr>
              <w:ind w:left="20"/>
              <w:spacing w:after="0"/>
              <w:rPr>
                <w:sz w:val="20"/>
                <w:szCs w:val="20"/>
                <w:color w:val="auto"/>
              </w:rPr>
            </w:pPr>
            <w:r>
              <w:rPr>
                <w:rFonts w:ascii="Arial" w:cs="Arial" w:eastAsia="Arial" w:hAnsi="Arial"/>
                <w:sz w:val="12"/>
                <w:szCs w:val="12"/>
                <w:b w:val="1"/>
                <w:bCs w:val="1"/>
                <w:color w:val="auto"/>
              </w:rPr>
              <w:t>ASSETS</w:t>
            </w: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assets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40" w:type="dxa"/>
            <w:vAlign w:val="bottom"/>
          </w:tcPr>
          <w:p>
            <w:pPr>
              <w:ind w:left="100"/>
              <w:spacing w:after="0"/>
              <w:rPr>
                <w:sz w:val="20"/>
                <w:szCs w:val="20"/>
                <w:color w:val="auto"/>
              </w:rPr>
            </w:pPr>
            <w:r>
              <w:rPr>
                <w:rFonts w:ascii="Arial" w:cs="Arial" w:eastAsia="Arial" w:hAnsi="Arial"/>
                <w:sz w:val="12"/>
                <w:szCs w:val="12"/>
                <w:color w:val="auto"/>
              </w:rPr>
              <w:t>Cash and cash equivalents</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22,470</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5,982</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36,663</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(5,982)</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5(A)</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17,553</w:t>
            </w:r>
          </w:p>
        </w:tc>
        <w:tc>
          <w:tcPr>
            <w:tcW w:w="0" w:type="dxa"/>
            <w:vAlign w:val="bottom"/>
          </w:tcPr>
          <w:p>
            <w:pPr>
              <w:spacing w:after="0"/>
              <w:rPr>
                <w:sz w:val="1"/>
                <w:szCs w:val="1"/>
                <w:color w:val="auto"/>
              </w:rPr>
            </w:pPr>
          </w:p>
        </w:tc>
      </w:tr>
      <w:tr>
        <w:trPr>
          <w:trHeight w:val="160"/>
        </w:trPr>
        <w:tc>
          <w:tcPr>
            <w:tcW w:w="2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(41,580)</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5(B)</w:t>
            </w: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40" w:type="dxa"/>
            <w:vAlign w:val="bottom"/>
          </w:tcPr>
          <w:p>
            <w:pPr>
              <w:ind w:left="100"/>
              <w:spacing w:after="0"/>
              <w:rPr>
                <w:sz w:val="20"/>
                <w:szCs w:val="20"/>
                <w:color w:val="auto"/>
              </w:rPr>
            </w:pPr>
            <w:r>
              <w:rPr>
                <w:rFonts w:ascii="Arial" w:cs="Arial" w:eastAsia="Arial" w:hAnsi="Arial"/>
                <w:sz w:val="12"/>
                <w:szCs w:val="12"/>
                <w:color w:val="auto"/>
              </w:rPr>
              <w:t>Accounts receivable</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9,290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3,294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12,584</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Investments, at fair value</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51,564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(36,850)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14,714</w:t>
            </w:r>
          </w:p>
        </w:tc>
        <w:tc>
          <w:tcPr>
            <w:tcW w:w="0" w:type="dxa"/>
            <w:vAlign w:val="bottom"/>
          </w:tcPr>
          <w:p>
            <w:pPr>
              <w:spacing w:after="0"/>
              <w:rPr>
                <w:sz w:val="1"/>
                <w:szCs w:val="1"/>
                <w:color w:val="auto"/>
              </w:rPr>
            </w:pPr>
          </w:p>
        </w:tc>
      </w:tr>
      <w:tr>
        <w:trPr>
          <w:trHeight w:val="156"/>
        </w:trPr>
        <w:tc>
          <w:tcPr>
            <w:tcW w:w="2440" w:type="dxa"/>
            <w:vAlign w:val="bottom"/>
          </w:tcPr>
          <w:p>
            <w:pPr>
              <w:ind w:left="100"/>
              <w:spacing w:after="0"/>
              <w:rPr>
                <w:sz w:val="20"/>
                <w:szCs w:val="20"/>
                <w:color w:val="auto"/>
              </w:rPr>
            </w:pPr>
            <w:r>
              <w:rPr>
                <w:rFonts w:ascii="Arial" w:cs="Arial" w:eastAsia="Arial" w:hAnsi="Arial"/>
                <w:sz w:val="12"/>
                <w:szCs w:val="12"/>
                <w:color w:val="auto"/>
              </w:rPr>
              <w:t>Prepaid income taxes</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569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569</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current assets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1,034</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3,681</w:t>
            </w:r>
          </w:p>
        </w:tc>
        <w:tc>
          <w:tcPr>
            <w:tcW w:w="0" w:type="dxa"/>
            <w:vAlign w:val="bottom"/>
          </w:tcPr>
          <w:p>
            <w:pPr>
              <w:spacing w:after="0"/>
              <w:rPr>
                <w:sz w:val="1"/>
                <w:szCs w:val="1"/>
                <w:color w:val="auto"/>
              </w:rPr>
            </w:pPr>
          </w:p>
        </w:tc>
      </w:tr>
      <w:tr>
        <w:trPr>
          <w:trHeight w:val="147"/>
        </w:trPr>
        <w:tc>
          <w:tcPr>
            <w:tcW w:w="2440" w:type="dxa"/>
            <w:vAlign w:val="bottom"/>
          </w:tcPr>
          <w:p>
            <w:pPr>
              <w:ind w:left="180"/>
              <w:spacing w:after="0"/>
              <w:rPr>
                <w:sz w:val="20"/>
                <w:szCs w:val="20"/>
                <w:color w:val="auto"/>
              </w:rPr>
            </w:pPr>
            <w:r>
              <w:rPr>
                <w:rFonts w:ascii="Arial" w:cs="Arial" w:eastAsia="Arial" w:hAnsi="Arial"/>
                <w:sz w:val="12"/>
                <w:szCs w:val="12"/>
                <w:color w:val="auto"/>
              </w:rPr>
              <w:t>Total Current assets</w:t>
            </w: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86,540</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10,310</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(187)</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(47,562)</w:t>
            </w: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49,101</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Investments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4,659</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1,941</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5(E)</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11,055</w:t>
            </w:r>
          </w:p>
        </w:tc>
        <w:tc>
          <w:tcPr>
            <w:tcW w:w="0" w:type="dxa"/>
            <w:vAlign w:val="bottom"/>
          </w:tcPr>
          <w:p>
            <w:pPr>
              <w:spacing w:after="0"/>
              <w:rPr>
                <w:sz w:val="1"/>
                <w:szCs w:val="1"/>
                <w:color w:val="auto"/>
              </w:rPr>
            </w:pPr>
          </w:p>
        </w:tc>
      </w:tr>
      <w:tr>
        <w:trPr>
          <w:trHeight w:val="156"/>
        </w:trPr>
        <w:tc>
          <w:tcPr>
            <w:tcW w:w="2440" w:type="dxa"/>
            <w:vAlign w:val="bottom"/>
          </w:tcPr>
          <w:p>
            <w:pPr>
              <w:ind w:left="100"/>
              <w:spacing w:after="0"/>
              <w:rPr>
                <w:sz w:val="20"/>
                <w:szCs w:val="20"/>
                <w:color w:val="auto"/>
              </w:rPr>
            </w:pPr>
            <w:r>
              <w:rPr>
                <w:rFonts w:ascii="Arial" w:cs="Arial" w:eastAsia="Arial" w:hAnsi="Arial"/>
                <w:sz w:val="12"/>
                <w:szCs w:val="12"/>
                <w:color w:val="auto"/>
              </w:rPr>
              <w:t>Noncurrent investments at fair value</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4,001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319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4,320</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Goodwill</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16,401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25,922</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(4,548)</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5(C)</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37,775</w:t>
            </w:r>
          </w:p>
        </w:tc>
        <w:tc>
          <w:tcPr>
            <w:tcW w:w="0" w:type="dxa"/>
            <w:vAlign w:val="bottom"/>
          </w:tcPr>
          <w:p>
            <w:pPr>
              <w:spacing w:after="0"/>
              <w:rPr>
                <w:sz w:val="1"/>
                <w:szCs w:val="1"/>
                <w:color w:val="auto"/>
              </w:rPr>
            </w:pPr>
          </w:p>
        </w:tc>
      </w:tr>
      <w:tr>
        <w:trPr>
          <w:trHeight w:val="156"/>
        </w:trPr>
        <w:tc>
          <w:tcPr>
            <w:tcW w:w="2440" w:type="dxa"/>
            <w:vAlign w:val="bottom"/>
          </w:tcPr>
          <w:p>
            <w:pPr>
              <w:ind w:left="100"/>
              <w:spacing w:after="0"/>
              <w:rPr>
                <w:sz w:val="20"/>
                <w:szCs w:val="20"/>
                <w:color w:val="auto"/>
              </w:rPr>
            </w:pPr>
            <w:r>
              <w:rPr>
                <w:rFonts w:ascii="Arial" w:cs="Arial" w:eastAsia="Arial" w:hAnsi="Arial"/>
                <w:sz w:val="12"/>
                <w:szCs w:val="12"/>
                <w:color w:val="auto"/>
              </w:rPr>
              <w:t>Deferred income taxes</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1,097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1,097</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Operating lease right-of-use assets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5,286</w:t>
            </w:r>
          </w:p>
        </w:tc>
        <w:tc>
          <w:tcPr>
            <w:tcW w:w="0" w:type="dxa"/>
            <w:vAlign w:val="bottom"/>
          </w:tcPr>
          <w:p>
            <w:pPr>
              <w:spacing w:after="0"/>
              <w:rPr>
                <w:sz w:val="1"/>
                <w:szCs w:val="1"/>
                <w:color w:val="auto"/>
              </w:rPr>
            </w:pPr>
          </w:p>
        </w:tc>
      </w:tr>
      <w:tr>
        <w:trPr>
          <w:trHeight w:val="158"/>
        </w:trPr>
        <w:tc>
          <w:tcPr>
            <w:tcW w:w="2440" w:type="dxa"/>
            <w:vAlign w:val="bottom"/>
          </w:tcPr>
          <w:p>
            <w:pPr>
              <w:ind w:left="100"/>
              <w:spacing w:after="0"/>
              <w:rPr>
                <w:sz w:val="20"/>
                <w:szCs w:val="20"/>
                <w:color w:val="auto"/>
              </w:rPr>
            </w:pPr>
            <w:r>
              <w:rPr>
                <w:rFonts w:ascii="Arial" w:cs="Arial" w:eastAsia="Arial" w:hAnsi="Arial"/>
                <w:sz w:val="12"/>
                <w:szCs w:val="12"/>
                <w:color w:val="auto"/>
              </w:rPr>
              <w:t>Intangible assets, net</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10,693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2,046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17,254</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5(D)</w:t>
            </w: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29,993</w:t>
            </w:r>
          </w:p>
        </w:tc>
        <w:tc>
          <w:tcPr>
            <w:tcW w:w="0" w:type="dxa"/>
            <w:vAlign w:val="bottom"/>
          </w:tcPr>
          <w:p>
            <w:pPr>
              <w:spacing w:after="0"/>
              <w:rPr>
                <w:sz w:val="1"/>
                <w:szCs w:val="1"/>
                <w:color w:val="auto"/>
              </w:rPr>
            </w:pPr>
          </w:p>
        </w:tc>
      </w:tr>
      <w:tr>
        <w:trPr>
          <w:trHeight w:val="118"/>
        </w:trPr>
        <w:tc>
          <w:tcPr>
            <w:tcW w:w="2440" w:type="dxa"/>
            <w:vAlign w:val="bottom"/>
            <w:shd w:val="clear" w:color="auto" w:fill="CCEEFF"/>
          </w:tcPr>
          <w:p>
            <w:pPr>
              <w:ind w:left="100"/>
              <w:spacing w:after="0" w:line="118" w:lineRule="exact"/>
              <w:rPr>
                <w:sz w:val="20"/>
                <w:szCs w:val="20"/>
                <w:color w:val="auto"/>
              </w:rPr>
            </w:pPr>
            <w:r>
              <w:rPr>
                <w:rFonts w:ascii="Arial" w:cs="Arial" w:eastAsia="Arial" w:hAnsi="Arial"/>
                <w:sz w:val="12"/>
                <w:szCs w:val="12"/>
                <w:color w:val="auto"/>
                <w:w w:val="98"/>
              </w:rPr>
              <w:t>Property and equipment, net of accumulated</w:t>
            </w: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depreciation</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1,805</w:t>
            </w:r>
          </w:p>
        </w:tc>
        <w:tc>
          <w:tcPr>
            <w:tcW w:w="0" w:type="dxa"/>
            <w:vAlign w:val="bottom"/>
          </w:tcPr>
          <w:p>
            <w:pPr>
              <w:spacing w:after="0"/>
              <w:rPr>
                <w:sz w:val="1"/>
                <w:szCs w:val="1"/>
                <w:color w:val="auto"/>
              </w:rPr>
            </w:pPr>
          </w:p>
        </w:tc>
      </w:tr>
      <w:tr>
        <w:trPr>
          <w:trHeight w:val="156"/>
        </w:trPr>
        <w:tc>
          <w:tcPr>
            <w:tcW w:w="2440" w:type="dxa"/>
            <w:vAlign w:val="bottom"/>
          </w:tcPr>
          <w:p>
            <w:pPr>
              <w:ind w:left="100"/>
              <w:spacing w:after="0"/>
              <w:rPr>
                <w:sz w:val="20"/>
                <w:szCs w:val="20"/>
                <w:color w:val="auto"/>
              </w:rPr>
            </w:pPr>
            <w:r>
              <w:rPr>
                <w:rFonts w:ascii="Arial" w:cs="Arial" w:eastAsia="Arial" w:hAnsi="Arial"/>
                <w:sz w:val="12"/>
                <w:szCs w:val="12"/>
                <w:color w:val="auto"/>
              </w:rPr>
              <w:t>Other long-term assets</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797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797</w:t>
            </w:r>
          </w:p>
        </w:tc>
        <w:tc>
          <w:tcPr>
            <w:tcW w:w="0" w:type="dxa"/>
            <w:vAlign w:val="bottom"/>
          </w:tcPr>
          <w:p>
            <w:pPr>
              <w:spacing w:after="0"/>
              <w:rPr>
                <w:sz w:val="1"/>
                <w:szCs w:val="1"/>
                <w:color w:val="auto"/>
              </w:rPr>
            </w:pPr>
          </w:p>
        </w:tc>
      </w:tr>
      <w:tr>
        <w:trPr>
          <w:trHeight w:val="17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130,987</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43,344</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(32,915)</w:t>
            </w: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141,229</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40" w:type="dxa"/>
            <w:vAlign w:val="bottom"/>
          </w:tcPr>
          <w:p>
            <w:pPr>
              <w:ind w:left="100"/>
              <w:spacing w:after="0"/>
              <w:rPr>
                <w:sz w:val="20"/>
                <w:szCs w:val="20"/>
                <w:color w:val="auto"/>
              </w:rPr>
            </w:pPr>
            <w:r>
              <w:rPr>
                <w:rFonts w:ascii="Arial" w:cs="Arial" w:eastAsia="Arial" w:hAnsi="Arial"/>
                <w:sz w:val="12"/>
                <w:szCs w:val="12"/>
                <w:color w:val="auto"/>
              </w:rPr>
              <w:t>Accounts payable and accrued liabilities</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2,876</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13,415</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(7,682)</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5(A)</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6,786</w:t>
            </w:r>
          </w:p>
        </w:tc>
        <w:tc>
          <w:tcPr>
            <w:tcW w:w="0" w:type="dxa"/>
            <w:vAlign w:val="bottom"/>
          </w:tcPr>
          <w:p>
            <w:pPr>
              <w:spacing w:after="0"/>
              <w:rPr>
                <w:sz w:val="1"/>
                <w:szCs w:val="1"/>
                <w:color w:val="auto"/>
              </w:rPr>
            </w:pPr>
          </w:p>
        </w:tc>
      </w:tr>
      <w:tr>
        <w:trPr>
          <w:trHeight w:val="160"/>
        </w:trPr>
        <w:tc>
          <w:tcPr>
            <w:tcW w:w="2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(1,823)</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5(F)</w:t>
            </w: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40" w:type="dxa"/>
            <w:vAlign w:val="bottom"/>
          </w:tcPr>
          <w:p>
            <w:pPr>
              <w:ind w:left="100"/>
              <w:spacing w:after="0"/>
              <w:rPr>
                <w:sz w:val="20"/>
                <w:szCs w:val="20"/>
                <w:color w:val="auto"/>
              </w:rPr>
            </w:pPr>
            <w:r>
              <w:rPr>
                <w:rFonts w:ascii="Arial" w:cs="Arial" w:eastAsia="Arial" w:hAnsi="Arial"/>
                <w:sz w:val="12"/>
                <w:szCs w:val="12"/>
                <w:color w:val="auto"/>
              </w:rPr>
              <w:t>Dividends payable</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1,726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1,726</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Compensation and benefits payable</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5,900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5,900</w:t>
            </w:r>
          </w:p>
        </w:tc>
        <w:tc>
          <w:tcPr>
            <w:tcW w:w="0" w:type="dxa"/>
            <w:vAlign w:val="bottom"/>
          </w:tcPr>
          <w:p>
            <w:pPr>
              <w:spacing w:after="0"/>
              <w:rPr>
                <w:sz w:val="1"/>
                <w:szCs w:val="1"/>
                <w:color w:val="auto"/>
              </w:rPr>
            </w:pPr>
          </w:p>
        </w:tc>
      </w:tr>
      <w:tr>
        <w:trPr>
          <w:trHeight w:val="156"/>
        </w:trPr>
        <w:tc>
          <w:tcPr>
            <w:tcW w:w="2440" w:type="dxa"/>
            <w:vAlign w:val="bottom"/>
          </w:tcPr>
          <w:p>
            <w:pPr>
              <w:ind w:left="100"/>
              <w:spacing w:after="0"/>
              <w:rPr>
                <w:sz w:val="20"/>
                <w:szCs w:val="20"/>
                <w:color w:val="auto"/>
              </w:rPr>
            </w:pPr>
            <w:r>
              <w:rPr>
                <w:rFonts w:ascii="Arial" w:cs="Arial" w:eastAsia="Arial" w:hAnsi="Arial"/>
                <w:sz w:val="12"/>
                <w:szCs w:val="12"/>
                <w:color w:val="auto"/>
              </w:rPr>
              <w:t>Operating lease liabilities</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1,484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1,484</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Subordinated debt</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41,414</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(41,414)</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5(A)</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2440" w:type="dxa"/>
            <w:vAlign w:val="bottom"/>
          </w:tcPr>
          <w:p>
            <w:pPr>
              <w:ind w:left="100"/>
              <w:spacing w:after="0"/>
              <w:rPr>
                <w:sz w:val="20"/>
                <w:szCs w:val="20"/>
                <w:color w:val="auto"/>
              </w:rPr>
            </w:pPr>
            <w:r>
              <w:rPr>
                <w:rFonts w:ascii="Arial" w:cs="Arial" w:eastAsia="Arial" w:hAnsi="Arial"/>
                <w:sz w:val="12"/>
                <w:szCs w:val="12"/>
                <w:color w:val="auto"/>
              </w:rPr>
              <w:t>Senior debt</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16,891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(16,891)</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5(A)</w:t>
            </w: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2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Note payable</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4,004</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(4,004)</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5(A)</w:t>
            </w: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2440" w:type="dxa"/>
            <w:vAlign w:val="bottom"/>
          </w:tcPr>
          <w:p>
            <w:pPr>
              <w:ind w:left="100"/>
              <w:spacing w:after="0"/>
              <w:rPr>
                <w:sz w:val="20"/>
                <w:szCs w:val="20"/>
                <w:color w:val="auto"/>
              </w:rPr>
            </w:pPr>
            <w:r>
              <w:rPr>
                <w:rFonts w:ascii="Arial" w:cs="Arial" w:eastAsia="Arial" w:hAnsi="Arial"/>
                <w:sz w:val="12"/>
                <w:szCs w:val="12"/>
                <w:color w:val="auto"/>
              </w:rPr>
              <w:t>Restructuring fee payable</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2,500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(2,500)</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5(A)</w:t>
            </w: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2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SBA loan</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1,860</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(1,860)</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5(A)</w:t>
            </w: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440" w:type="dxa"/>
            <w:vAlign w:val="bottom"/>
          </w:tcPr>
          <w:p>
            <w:pPr>
              <w:ind w:left="180"/>
              <w:spacing w:after="0"/>
              <w:rPr>
                <w:sz w:val="20"/>
                <w:szCs w:val="20"/>
                <w:color w:val="auto"/>
              </w:rPr>
            </w:pPr>
            <w:r>
              <w:rPr>
                <w:rFonts w:ascii="Arial" w:cs="Arial" w:eastAsia="Arial" w:hAnsi="Arial"/>
                <w:sz w:val="12"/>
                <w:szCs w:val="12"/>
                <w:color w:val="auto"/>
              </w:rPr>
              <w:t>Total Current liabilities</w:t>
            </w: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11,986</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80,084</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(76,174)</w:t>
            </w: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15,896</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dividends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w:t>
            </w:r>
          </w:p>
        </w:tc>
        <w:tc>
          <w:tcPr>
            <w:tcW w:w="0" w:type="dxa"/>
            <w:vAlign w:val="bottom"/>
          </w:tcPr>
          <w:p>
            <w:pPr>
              <w:spacing w:after="0"/>
              <w:rPr>
                <w:sz w:val="1"/>
                <w:szCs w:val="1"/>
                <w:color w:val="auto"/>
              </w:rPr>
            </w:pPr>
          </w:p>
        </w:tc>
      </w:tr>
      <w:tr>
        <w:trPr>
          <w:trHeight w:val="156"/>
        </w:trPr>
        <w:tc>
          <w:tcPr>
            <w:tcW w:w="2440" w:type="dxa"/>
            <w:vAlign w:val="bottom"/>
          </w:tcPr>
          <w:p>
            <w:pPr>
              <w:ind w:left="100"/>
              <w:spacing w:after="0"/>
              <w:rPr>
                <w:sz w:val="20"/>
                <w:szCs w:val="20"/>
                <w:color w:val="auto"/>
              </w:rPr>
            </w:pPr>
            <w:r>
              <w:rPr>
                <w:rFonts w:ascii="Arial" w:cs="Arial" w:eastAsia="Arial" w:hAnsi="Arial"/>
                <w:sz w:val="12"/>
                <w:szCs w:val="12"/>
                <w:color w:val="auto"/>
              </w:rPr>
              <w:t>Noncurrent operating lease liabilities</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4,940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4,940</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Contingent consideration for acquisitions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12,999</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5(G)</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12,999</w:t>
            </w:r>
          </w:p>
        </w:tc>
        <w:tc>
          <w:tcPr>
            <w:tcW w:w="0" w:type="dxa"/>
            <w:vAlign w:val="bottom"/>
          </w:tcPr>
          <w:p>
            <w:pPr>
              <w:spacing w:after="0"/>
              <w:rPr>
                <w:sz w:val="1"/>
                <w:szCs w:val="1"/>
                <w:color w:val="auto"/>
              </w:rPr>
            </w:pPr>
          </w:p>
        </w:tc>
      </w:tr>
      <w:tr>
        <w:trPr>
          <w:trHeight w:val="150"/>
        </w:trPr>
        <w:tc>
          <w:tcPr>
            <w:tcW w:w="2440" w:type="dxa"/>
            <w:vAlign w:val="bottom"/>
          </w:tcPr>
          <w:p>
            <w:pPr>
              <w:ind w:left="20"/>
              <w:spacing w:after="0"/>
              <w:rPr>
                <w:sz w:val="20"/>
                <w:szCs w:val="20"/>
                <w:color w:val="auto"/>
              </w:rPr>
            </w:pPr>
            <w:r>
              <w:rPr>
                <w:rFonts w:ascii="Arial" w:cs="Arial" w:eastAsia="Arial" w:hAnsi="Arial"/>
                <w:sz w:val="12"/>
                <w:szCs w:val="12"/>
                <w:b w:val="1"/>
                <w:bCs w:val="1"/>
                <w:color w:val="auto"/>
              </w:rPr>
              <w:t>Total Liabilities</w:t>
            </w: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17,480</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80,084</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(63,175)</w:t>
            </w:r>
          </w:p>
        </w:tc>
        <w:tc>
          <w:tcPr>
            <w:tcW w:w="5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34,389</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44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b w:val="1"/>
                <w:bCs w:val="1"/>
                <w:color w:val="auto"/>
              </w:rPr>
              <w:t>EQUITY</w:t>
            </w: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440" w:type="dxa"/>
            <w:vAlign w:val="bottom"/>
          </w:tcPr>
          <w:p>
            <w:pPr>
              <w:ind w:left="100"/>
              <w:spacing w:after="0"/>
              <w:rPr>
                <w:sz w:val="20"/>
                <w:szCs w:val="20"/>
                <w:color w:val="auto"/>
              </w:rPr>
            </w:pPr>
            <w:r>
              <w:rPr>
                <w:rFonts w:ascii="Arial" w:cs="Arial" w:eastAsia="Arial" w:hAnsi="Arial"/>
                <w:sz w:val="12"/>
                <w:szCs w:val="12"/>
                <w:color w:val="auto"/>
              </w:rPr>
              <w:t>Stockholder’s equity (deficit)</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1173" w:right="3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59"/>
        </w:trPr>
        <w:tc>
          <w:tcPr>
            <w:tcW w:w="2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Common stock, $0.01 par value</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56"/>
        </w:trPr>
        <w:tc>
          <w:tcPr>
            <w:tcW w:w="2440" w:type="dxa"/>
            <w:vAlign w:val="bottom"/>
          </w:tcPr>
          <w:p>
            <w:pPr>
              <w:ind w:left="100"/>
              <w:spacing w:after="0"/>
              <w:rPr>
                <w:sz w:val="20"/>
                <w:szCs w:val="20"/>
                <w:color w:val="auto"/>
              </w:rPr>
            </w:pPr>
            <w:r>
              <w:rPr>
                <w:rFonts w:ascii="Arial" w:cs="Arial" w:eastAsia="Arial" w:hAnsi="Arial"/>
                <w:sz w:val="12"/>
                <w:szCs w:val="12"/>
                <w:color w:val="auto"/>
              </w:rPr>
              <w:t>Additional paid-in capital</w:t>
            </w: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199,594</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108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199,594</w:t>
            </w:r>
          </w:p>
        </w:tc>
        <w:tc>
          <w:tcPr>
            <w:tcW w:w="0" w:type="dxa"/>
            <w:vAlign w:val="bottom"/>
          </w:tcPr>
          <w:p>
            <w:pPr>
              <w:spacing w:after="0"/>
              <w:rPr>
                <w:sz w:val="1"/>
                <w:szCs w:val="1"/>
                <w:color w:val="auto"/>
              </w:rPr>
            </w:pPr>
          </w:p>
        </w:tc>
      </w:tr>
      <w:tr>
        <w:trPr>
          <w:trHeight w:val="120"/>
        </w:trPr>
        <w:tc>
          <w:tcPr>
            <w:tcW w:w="2440" w:type="dxa"/>
            <w:vAlign w:val="bottom"/>
            <w:shd w:val="clear" w:color="auto" w:fill="CCEEFF"/>
          </w:tcPr>
          <w:p>
            <w:pPr>
              <w:ind w:left="100"/>
              <w:spacing w:after="0" w:line="120" w:lineRule="exact"/>
              <w:rPr>
                <w:sz w:val="20"/>
                <w:szCs w:val="20"/>
                <w:color w:val="auto"/>
              </w:rPr>
            </w:pPr>
            <w:r>
              <w:rPr>
                <w:rFonts w:ascii="Arial" w:cs="Arial" w:eastAsia="Arial" w:hAnsi="Arial"/>
                <w:sz w:val="12"/>
                <w:szCs w:val="12"/>
                <w:color w:val="auto"/>
                <w:w w:val="99"/>
              </w:rPr>
              <w:t>Treasury stock, at cost -2,648,278 shares at</w:t>
            </w:r>
          </w:p>
        </w:tc>
        <w:tc>
          <w:tcPr>
            <w:tcW w:w="4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440" w:type="dxa"/>
            <w:vAlign w:val="bottom"/>
            <w:shd w:val="clear" w:color="auto" w:fill="CCEEFF"/>
          </w:tcPr>
          <w:p>
            <w:pPr>
              <w:ind w:left="100"/>
              <w:spacing w:after="0" w:line="127" w:lineRule="exact"/>
              <w:rPr>
                <w:sz w:val="20"/>
                <w:szCs w:val="20"/>
                <w:color w:val="auto"/>
              </w:rPr>
            </w:pPr>
            <w:r>
              <w:rPr>
                <w:rFonts w:ascii="Arial" w:cs="Arial" w:eastAsia="Arial" w:hAnsi="Arial"/>
                <w:sz w:val="12"/>
                <w:szCs w:val="12"/>
                <w:color w:val="auto"/>
              </w:rPr>
              <w:t>September 30, 2022; 2,405,154 shares at</w:t>
            </w: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December 31, 2021</w:t>
            </w: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(85,227)</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(85,227)</w:t>
            </w:r>
          </w:p>
        </w:tc>
        <w:tc>
          <w:tcPr>
            <w:tcW w:w="0" w:type="dxa"/>
            <w:vAlign w:val="bottom"/>
          </w:tcPr>
          <w:p>
            <w:pPr>
              <w:spacing w:after="0"/>
              <w:rPr>
                <w:sz w:val="1"/>
                <w:szCs w:val="1"/>
                <w:color w:val="auto"/>
              </w:rPr>
            </w:pPr>
          </w:p>
        </w:tc>
      </w:tr>
      <w:tr>
        <w:trPr>
          <w:trHeight w:val="158"/>
        </w:trPr>
        <w:tc>
          <w:tcPr>
            <w:tcW w:w="2440" w:type="dxa"/>
            <w:vAlign w:val="bottom"/>
          </w:tcPr>
          <w:p>
            <w:pPr>
              <w:ind w:left="100"/>
              <w:spacing w:after="0"/>
              <w:rPr>
                <w:sz w:val="20"/>
                <w:szCs w:val="20"/>
                <w:color w:val="auto"/>
              </w:rPr>
            </w:pPr>
            <w:r>
              <w:rPr>
                <w:rFonts w:ascii="Arial" w:cs="Arial" w:eastAsia="Arial" w:hAnsi="Arial"/>
                <w:sz w:val="12"/>
                <w:szCs w:val="12"/>
                <w:color w:val="auto"/>
              </w:rPr>
              <w:t>Retained earnings (accumulated deficit)</w:t>
            </w: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(970)</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(36,740)</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(187)</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68,369</w:t>
            </w:r>
          </w:p>
        </w:tc>
        <w:tc>
          <w:tcPr>
            <w:tcW w:w="11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5(A)</w:t>
            </w:r>
          </w:p>
        </w:tc>
        <w:tc>
          <w:tcPr>
            <w:tcW w:w="920" w:type="dxa"/>
            <w:vAlign w:val="bottom"/>
          </w:tcPr>
          <w:p>
            <w:pPr>
              <w:jc w:val="right"/>
              <w:spacing w:after="0"/>
              <w:rPr>
                <w:sz w:val="20"/>
                <w:szCs w:val="20"/>
                <w:color w:val="auto"/>
              </w:rPr>
            </w:pPr>
            <w:r>
              <w:rPr>
                <w:rFonts w:ascii="Arial" w:cs="Arial" w:eastAsia="Arial" w:hAnsi="Arial"/>
                <w:sz w:val="12"/>
                <w:szCs w:val="12"/>
                <w:color w:val="auto"/>
              </w:rPr>
              <w:t>(7,637)</w:t>
            </w:r>
          </w:p>
        </w:tc>
        <w:tc>
          <w:tcPr>
            <w:tcW w:w="0" w:type="dxa"/>
            <w:vAlign w:val="bottom"/>
          </w:tcPr>
          <w:p>
            <w:pPr>
              <w:spacing w:after="0"/>
              <w:rPr>
                <w:sz w:val="1"/>
                <w:szCs w:val="1"/>
                <w:color w:val="auto"/>
              </w:rPr>
            </w:pPr>
          </w:p>
        </w:tc>
      </w:tr>
      <w:tr>
        <w:trPr>
          <w:trHeight w:val="160"/>
        </w:trPr>
        <w:tc>
          <w:tcPr>
            <w:tcW w:w="24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(38,109)</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b w:val="1"/>
                <w:bCs w:val="1"/>
                <w:color w:val="auto"/>
              </w:rPr>
              <w:t>5(H)</w:t>
            </w: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Stockholder’s equity (deficit)</w:t>
            </w: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113,507</w:t>
            </w:r>
          </w:p>
        </w:tc>
        <w:tc>
          <w:tcPr>
            <w:tcW w:w="2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(36,740)</w:t>
            </w:r>
          </w:p>
        </w:tc>
        <w:tc>
          <w:tcPr>
            <w:tcW w:w="2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(187)</w:t>
            </w:r>
          </w:p>
        </w:tc>
        <w:tc>
          <w:tcPr>
            <w:tcW w:w="2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30,260</w:t>
            </w:r>
          </w:p>
        </w:tc>
        <w:tc>
          <w:tcPr>
            <w:tcW w:w="5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106,840</w:t>
            </w:r>
          </w:p>
        </w:tc>
        <w:tc>
          <w:tcPr>
            <w:tcW w:w="0" w:type="dxa"/>
            <w:vAlign w:val="bottom"/>
          </w:tcPr>
          <w:p>
            <w:pPr>
              <w:spacing w:after="0"/>
              <w:rPr>
                <w:sz w:val="1"/>
                <w:szCs w:val="1"/>
                <w:color w:val="auto"/>
              </w:rPr>
            </w:pPr>
          </w:p>
        </w:tc>
      </w:tr>
      <w:tr>
        <w:trPr>
          <w:trHeight w:val="100"/>
        </w:trPr>
        <w:tc>
          <w:tcPr>
            <w:tcW w:w="2440" w:type="dxa"/>
            <w:vAlign w:val="bottom"/>
            <w:shd w:val="clear" w:color="auto" w:fill="CCEEFF"/>
          </w:tcPr>
          <w:p>
            <w:pPr>
              <w:ind w:left="20"/>
              <w:spacing w:after="0" w:line="100" w:lineRule="exact"/>
              <w:rPr>
                <w:sz w:val="20"/>
                <w:szCs w:val="20"/>
                <w:color w:val="auto"/>
              </w:rPr>
            </w:pPr>
            <w:r>
              <w:rPr>
                <w:rFonts w:ascii="Arial" w:cs="Arial" w:eastAsia="Arial" w:hAnsi="Arial"/>
                <w:sz w:val="11"/>
                <w:szCs w:val="11"/>
                <w:b w:val="1"/>
                <w:bCs w:val="1"/>
                <w:color w:val="auto"/>
              </w:rPr>
              <w:t>Total Liabilities and Stockholder’s Equity</w:t>
            </w:r>
          </w:p>
        </w:tc>
        <w:tc>
          <w:tcPr>
            <w:tcW w:w="460" w:type="dxa"/>
            <w:vAlign w:val="bottom"/>
            <w:vMerge w:val="restart"/>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130,987</w:t>
            </w:r>
          </w:p>
        </w:tc>
        <w:tc>
          <w:tcPr>
            <w:tcW w:w="22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43,344</w:t>
            </w:r>
          </w:p>
        </w:tc>
        <w:tc>
          <w:tcPr>
            <w:tcW w:w="24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(187)</w:t>
            </w:r>
          </w:p>
        </w:tc>
        <w:tc>
          <w:tcPr>
            <w:tcW w:w="22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(32,915)</w:t>
            </w:r>
          </w:p>
        </w:tc>
        <w:tc>
          <w:tcPr>
            <w:tcW w:w="114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141,229</w:t>
            </w:r>
          </w:p>
        </w:tc>
        <w:tc>
          <w:tcPr>
            <w:tcW w:w="0" w:type="dxa"/>
            <w:vAlign w:val="bottom"/>
          </w:tcPr>
          <w:p>
            <w:pPr>
              <w:spacing w:after="0"/>
              <w:rPr>
                <w:sz w:val="1"/>
                <w:szCs w:val="1"/>
                <w:color w:val="auto"/>
              </w:rPr>
            </w:pPr>
          </w:p>
        </w:tc>
      </w:tr>
      <w:tr>
        <w:trPr>
          <w:trHeight w:val="169"/>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(Deficit)</w:t>
            </w:r>
          </w:p>
        </w:tc>
        <w:tc>
          <w:tcPr>
            <w:tcW w:w="46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1179" w:right="319" w:bottom="1440" w:gutter="0" w:footer="0" w:header="0"/>
        </w:sectPr>
      </w:pPr>
    </w:p>
    <w:bookmarkStart w:id="61" w:name="page62"/>
    <w:bookmarkEnd w:id="61"/>
    <w:p>
      <w:pPr>
        <w:jc w:val="center"/>
        <w:spacing w:after="0"/>
        <w:rPr>
          <w:sz w:val="20"/>
          <w:szCs w:val="20"/>
          <w:color w:val="auto"/>
        </w:rPr>
      </w:pPr>
      <w:r>
        <w:rPr>
          <w:rFonts w:ascii="Arial" w:cs="Arial" w:eastAsia="Arial" w:hAnsi="Arial"/>
          <w:sz w:val="11"/>
          <w:szCs w:val="11"/>
          <w:b w:val="1"/>
          <w:bCs w:val="1"/>
          <w:color w:val="auto"/>
        </w:rPr>
        <w:t>UNAUDITED PRO FORMA CONDENSED COMBINED STATEMENT OF OPERATIONS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For the Nine Months Ended September 30, 2022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(in thousands, except per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40" w:type="dxa"/>
            <w:vAlign w:val="bottom"/>
            <w:gridSpan w:val="4"/>
          </w:tcPr>
          <w:p>
            <w:pPr>
              <w:ind w:left="80"/>
              <w:spacing w:after="0"/>
              <w:rPr>
                <w:sz w:val="20"/>
                <w:szCs w:val="20"/>
                <w:color w:val="auto"/>
              </w:rPr>
            </w:pPr>
            <w:r>
              <w:rPr>
                <w:rFonts w:ascii="Arial" w:cs="Arial" w:eastAsia="Arial" w:hAnsi="Arial"/>
                <w:sz w:val="13"/>
                <w:szCs w:val="13"/>
                <w:b w:val="1"/>
                <w:bCs w:val="1"/>
                <w:color w:val="auto"/>
              </w:rPr>
              <w:t>Historical</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1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ind w:right="320"/>
              <w:spacing w:after="0"/>
              <w:rPr>
                <w:sz w:val="20"/>
                <w:szCs w:val="20"/>
                <w:color w:val="auto"/>
              </w:rPr>
            </w:pPr>
            <w:r>
              <w:rPr>
                <w:rFonts w:ascii="Arial" w:cs="Arial" w:eastAsia="Arial" w:hAnsi="Arial"/>
                <w:sz w:val="13"/>
                <w:szCs w:val="13"/>
                <w:b w:val="1"/>
                <w:bCs w:val="1"/>
                <w:color w:val="auto"/>
              </w:rPr>
              <w:t>Westwood</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tcPr>
          <w:p>
            <w:pPr>
              <w:jc w:val="right"/>
              <w:ind w:right="80"/>
              <w:spacing w:after="0" w:line="123" w:lineRule="exact"/>
              <w:rPr>
                <w:sz w:val="20"/>
                <w:szCs w:val="20"/>
                <w:color w:val="auto"/>
              </w:rPr>
            </w:pPr>
            <w:r>
              <w:rPr>
                <w:rFonts w:ascii="Arial" w:cs="Arial" w:eastAsia="Arial" w:hAnsi="Arial"/>
                <w:sz w:val="13"/>
                <w:szCs w:val="13"/>
                <w:b w:val="1"/>
                <w:bCs w:val="1"/>
                <w:color w:val="auto"/>
                <w:w w:val="86"/>
              </w:rPr>
              <w:t>Salient Partners Reclassified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jc w:val="right"/>
              <w:ind w:right="40"/>
              <w:spacing w:after="0" w:line="123" w:lineRule="exact"/>
              <w:rPr>
                <w:sz w:val="20"/>
                <w:szCs w:val="20"/>
                <w:color w:val="auto"/>
              </w:rPr>
            </w:pPr>
            <w:r>
              <w:rPr>
                <w:rFonts w:ascii="Arial" w:cs="Arial" w:eastAsia="Arial" w:hAnsi="Arial"/>
                <w:sz w:val="13"/>
                <w:szCs w:val="13"/>
                <w:b w:val="1"/>
                <w:bCs w:val="1"/>
                <w:color w:val="auto"/>
                <w:w w:val="85"/>
              </w:rPr>
              <w:t>Transaction Accounting</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right"/>
              <w:ind w:right="80"/>
              <w:spacing w:after="0"/>
              <w:rPr>
                <w:sz w:val="20"/>
                <w:szCs w:val="20"/>
                <w:color w:val="auto"/>
              </w:rPr>
            </w:pPr>
            <w:r>
              <w:rPr>
                <w:rFonts w:ascii="Arial" w:cs="Arial" w:eastAsia="Arial" w:hAnsi="Arial"/>
                <w:sz w:val="13"/>
                <w:szCs w:val="13"/>
                <w:b w:val="1"/>
                <w:bCs w:val="1"/>
                <w:color w:val="auto"/>
                <w:w w:val="92"/>
              </w:rPr>
              <w:t>Pro Forma Combined</w:t>
            </w:r>
          </w:p>
        </w:tc>
        <w:tc>
          <w:tcPr>
            <w:tcW w:w="0" w:type="dxa"/>
            <w:vAlign w:val="bottom"/>
          </w:tcPr>
          <w:p>
            <w:pPr>
              <w:spacing w:after="0"/>
              <w:rPr>
                <w:sz w:val="1"/>
                <w:szCs w:val="1"/>
                <w:color w:val="auto"/>
              </w:rPr>
            </w:pPr>
          </w:p>
        </w:tc>
      </w:tr>
      <w:tr>
        <w:trPr>
          <w:trHeight w:val="165"/>
        </w:trPr>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2"/>
          </w:tcPr>
          <w:p>
            <w:pPr>
              <w:ind w:left="580"/>
              <w:spacing w:after="0"/>
              <w:rPr>
                <w:sz w:val="20"/>
                <w:szCs w:val="20"/>
                <w:color w:val="auto"/>
              </w:rPr>
            </w:pPr>
            <w:r>
              <w:rPr>
                <w:rFonts w:ascii="Arial" w:cs="Arial" w:eastAsia="Arial" w:hAnsi="Arial"/>
                <w:sz w:val="13"/>
                <w:szCs w:val="13"/>
                <w:b w:val="1"/>
                <w:bCs w:val="1"/>
                <w:color w:val="auto"/>
              </w:rPr>
              <w:t>(Note 2)</w:t>
            </w:r>
          </w:p>
        </w:tc>
        <w:tc>
          <w:tcPr>
            <w:tcW w:w="100" w:type="dxa"/>
            <w:vAlign w:val="bottom"/>
          </w:tcPr>
          <w:p>
            <w:pPr>
              <w:spacing w:after="0"/>
              <w:rPr>
                <w:sz w:val="14"/>
                <w:szCs w:val="14"/>
                <w:color w:val="auto"/>
              </w:rPr>
            </w:pPr>
          </w:p>
        </w:tc>
        <w:tc>
          <w:tcPr>
            <w:tcW w:w="1400" w:type="dxa"/>
            <w:vAlign w:val="bottom"/>
          </w:tcPr>
          <w:p>
            <w:pPr>
              <w:jc w:val="right"/>
              <w:ind w:right="340"/>
              <w:spacing w:after="0"/>
              <w:rPr>
                <w:sz w:val="20"/>
                <w:szCs w:val="20"/>
                <w:color w:val="auto"/>
              </w:rPr>
            </w:pPr>
            <w:r>
              <w:rPr>
                <w:rFonts w:ascii="Arial" w:cs="Arial" w:eastAsia="Arial" w:hAnsi="Arial"/>
                <w:sz w:val="13"/>
                <w:szCs w:val="13"/>
                <w:b w:val="1"/>
                <w:bCs w:val="1"/>
                <w:color w:val="auto"/>
              </w:rPr>
              <w:t>Adjustments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60" w:type="dxa"/>
            <w:vAlign w:val="bottom"/>
          </w:tcPr>
          <w:p>
            <w:pPr>
              <w:ind w:left="20"/>
              <w:spacing w:after="0"/>
              <w:rPr>
                <w:sz w:val="20"/>
                <w:szCs w:val="20"/>
                <w:color w:val="auto"/>
              </w:rPr>
            </w:pPr>
            <w:r>
              <w:rPr>
                <w:rFonts w:ascii="Arial" w:cs="Arial" w:eastAsia="Arial" w:hAnsi="Arial"/>
                <w:sz w:val="12"/>
                <w:szCs w:val="12"/>
                <w:b w:val="1"/>
                <w:bCs w:val="1"/>
                <w:color w:val="auto"/>
              </w:rPr>
              <w:t>Revenues</w:t>
            </w: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Advisory Fees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100"/>
              <w:spacing w:after="0"/>
              <w:rPr>
                <w:sz w:val="20"/>
                <w:szCs w:val="20"/>
                <w:color w:val="auto"/>
              </w:rPr>
            </w:pPr>
            <w:r>
              <w:rPr>
                <w:rFonts w:ascii="Arial" w:cs="Arial" w:eastAsia="Arial" w:hAnsi="Arial"/>
                <w:sz w:val="12"/>
                <w:szCs w:val="12"/>
                <w:color w:val="auto"/>
              </w:rPr>
              <w:t>Asset-based</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33,244</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700" w:type="dxa"/>
            <w:vAlign w:val="bottom"/>
          </w:tcPr>
          <w:p>
            <w:pPr>
              <w:jc w:val="right"/>
              <w:spacing w:after="0"/>
              <w:rPr>
                <w:sz w:val="20"/>
                <w:szCs w:val="20"/>
                <w:color w:val="auto"/>
              </w:rPr>
            </w:pPr>
            <w:r>
              <w:rPr>
                <w:rFonts w:ascii="Arial" w:cs="Arial" w:eastAsia="Arial" w:hAnsi="Arial"/>
                <w:sz w:val="12"/>
                <w:szCs w:val="12"/>
                <w:color w:val="auto"/>
              </w:rPr>
              <w:t>22,925</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56,169</w:t>
            </w:r>
          </w:p>
        </w:tc>
        <w:tc>
          <w:tcPr>
            <w:tcW w:w="0" w:type="dxa"/>
            <w:vAlign w:val="bottom"/>
          </w:tcPr>
          <w:p>
            <w:pPr>
              <w:spacing w:after="0"/>
              <w:rPr>
                <w:sz w:val="1"/>
                <w:szCs w:val="1"/>
                <w:color w:val="auto"/>
              </w:rPr>
            </w:pPr>
          </w:p>
        </w:tc>
      </w:tr>
      <w:tr>
        <w:trPr>
          <w:trHeight w:val="162"/>
        </w:trPr>
        <w:tc>
          <w:tcPr>
            <w:tcW w:w="4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Trust fees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16,257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16,257</w:t>
            </w: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Arial" w:cs="Arial" w:eastAsia="Arial" w:hAnsi="Arial"/>
                <w:sz w:val="12"/>
                <w:szCs w:val="12"/>
                <w:color w:val="auto"/>
              </w:rPr>
              <w:t>Other, net</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(1,276)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(1,276)</w:t>
            </w:r>
          </w:p>
        </w:tc>
        <w:tc>
          <w:tcPr>
            <w:tcW w:w="0" w:type="dxa"/>
            <w:vAlign w:val="bottom"/>
          </w:tcPr>
          <w:p>
            <w:pPr>
              <w:spacing w:after="0"/>
              <w:rPr>
                <w:sz w:val="1"/>
                <w:szCs w:val="1"/>
                <w:color w:val="auto"/>
              </w:rPr>
            </w:pPr>
          </w:p>
        </w:tc>
      </w:tr>
      <w:tr>
        <w:trPr>
          <w:trHeight w:val="162"/>
        </w:trPr>
        <w:tc>
          <w:tcPr>
            <w:tcW w:w="4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Private placement commission</w:t>
            </w: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47"/>
        </w:trPr>
        <w:tc>
          <w:tcPr>
            <w:tcW w:w="4160" w:type="dxa"/>
            <w:vAlign w:val="bottom"/>
          </w:tcPr>
          <w:p>
            <w:pPr>
              <w:ind w:left="180"/>
              <w:spacing w:after="0"/>
              <w:rPr>
                <w:sz w:val="20"/>
                <w:szCs w:val="20"/>
                <w:color w:val="auto"/>
              </w:rPr>
            </w:pPr>
            <w:r>
              <w:rPr>
                <w:rFonts w:ascii="Arial" w:cs="Arial" w:eastAsia="Arial" w:hAnsi="Arial"/>
                <w:sz w:val="12"/>
                <w:szCs w:val="12"/>
                <w:color w:val="auto"/>
              </w:rPr>
              <w:t>Total Revenues</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48,225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23,111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71,336</w:t>
            </w:r>
          </w:p>
        </w:tc>
        <w:tc>
          <w:tcPr>
            <w:tcW w:w="0" w:type="dxa"/>
            <w:vAlign w:val="bottom"/>
          </w:tcPr>
          <w:p>
            <w:pPr>
              <w:spacing w:after="0"/>
              <w:rPr>
                <w:sz w:val="1"/>
                <w:szCs w:val="1"/>
                <w:color w:val="auto"/>
              </w:rPr>
            </w:pPr>
          </w:p>
        </w:tc>
      </w:tr>
      <w:tr>
        <w:trPr>
          <w:trHeight w:val="162"/>
        </w:trPr>
        <w:tc>
          <w:tcPr>
            <w:tcW w:w="4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Expenses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160" w:type="dxa"/>
            <w:vAlign w:val="bottom"/>
          </w:tcPr>
          <w:p>
            <w:pPr>
              <w:ind w:left="20"/>
              <w:spacing w:after="0"/>
              <w:rPr>
                <w:sz w:val="20"/>
                <w:szCs w:val="20"/>
                <w:color w:val="auto"/>
              </w:rPr>
            </w:pPr>
            <w:r>
              <w:rPr>
                <w:rFonts w:ascii="Arial" w:cs="Arial" w:eastAsia="Arial" w:hAnsi="Arial"/>
                <w:sz w:val="12"/>
                <w:szCs w:val="12"/>
                <w:color w:val="auto"/>
              </w:rPr>
              <w:t>Employee compensation and benefits</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28,993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11,942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750</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6(D)</w:t>
            </w:r>
          </w:p>
        </w:tc>
        <w:tc>
          <w:tcPr>
            <w:tcW w:w="1380" w:type="dxa"/>
            <w:vAlign w:val="bottom"/>
          </w:tcPr>
          <w:p>
            <w:pPr>
              <w:jc w:val="right"/>
              <w:spacing w:after="0"/>
              <w:rPr>
                <w:sz w:val="20"/>
                <w:szCs w:val="20"/>
                <w:color w:val="auto"/>
              </w:rPr>
            </w:pPr>
            <w:r>
              <w:rPr>
                <w:rFonts w:ascii="Arial" w:cs="Arial" w:eastAsia="Arial" w:hAnsi="Arial"/>
                <w:sz w:val="12"/>
                <w:szCs w:val="12"/>
                <w:color w:val="auto"/>
              </w:rPr>
              <w:t>41,685</w:t>
            </w:r>
          </w:p>
        </w:tc>
        <w:tc>
          <w:tcPr>
            <w:tcW w:w="0" w:type="dxa"/>
            <w:vAlign w:val="bottom"/>
          </w:tcPr>
          <w:p>
            <w:pPr>
              <w:spacing w:after="0"/>
              <w:rPr>
                <w:sz w:val="1"/>
                <w:szCs w:val="1"/>
                <w:color w:val="auto"/>
              </w:rPr>
            </w:pPr>
          </w:p>
        </w:tc>
      </w:tr>
      <w:tr>
        <w:trPr>
          <w:trHeight w:val="160"/>
        </w:trPr>
        <w:tc>
          <w:tcPr>
            <w:tcW w:w="4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Sales and marketing</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1,326</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1,490</w:t>
            </w: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Arial" w:cs="Arial" w:eastAsia="Arial" w:hAnsi="Arial"/>
                <w:sz w:val="12"/>
                <w:szCs w:val="12"/>
                <w:color w:val="auto"/>
              </w:rPr>
              <w:t>Westwood mutual funds</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1,812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1,812</w:t>
            </w:r>
          </w:p>
        </w:tc>
        <w:tc>
          <w:tcPr>
            <w:tcW w:w="0" w:type="dxa"/>
            <w:vAlign w:val="bottom"/>
          </w:tcPr>
          <w:p>
            <w:pPr>
              <w:spacing w:after="0"/>
              <w:rPr>
                <w:sz w:val="1"/>
                <w:szCs w:val="1"/>
                <w:color w:val="auto"/>
              </w:rPr>
            </w:pPr>
          </w:p>
        </w:tc>
      </w:tr>
      <w:tr>
        <w:trPr>
          <w:trHeight w:val="162"/>
        </w:trPr>
        <w:tc>
          <w:tcPr>
            <w:tcW w:w="4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Information technology</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5,934</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8,157</w:t>
            </w: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Arial" w:cs="Arial" w:eastAsia="Arial" w:hAnsi="Arial"/>
                <w:sz w:val="12"/>
                <w:szCs w:val="12"/>
                <w:color w:val="auto"/>
              </w:rPr>
              <w:t>Professional services</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4,655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1,460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6,115</w:t>
            </w:r>
          </w:p>
        </w:tc>
        <w:tc>
          <w:tcPr>
            <w:tcW w:w="0" w:type="dxa"/>
            <w:vAlign w:val="bottom"/>
          </w:tcPr>
          <w:p>
            <w:pPr>
              <w:spacing w:after="0"/>
              <w:rPr>
                <w:sz w:val="1"/>
                <w:szCs w:val="1"/>
                <w:color w:val="auto"/>
              </w:rPr>
            </w:pPr>
          </w:p>
        </w:tc>
      </w:tr>
      <w:tr>
        <w:trPr>
          <w:trHeight w:val="162"/>
        </w:trPr>
        <w:tc>
          <w:tcPr>
            <w:tcW w:w="4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and administrative</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6,570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6(A)</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10,372</w:t>
            </w:r>
          </w:p>
        </w:tc>
        <w:tc>
          <w:tcPr>
            <w:tcW w:w="0" w:type="dxa"/>
            <w:vAlign w:val="bottom"/>
          </w:tcPr>
          <w:p>
            <w:pPr>
              <w:spacing w:after="0"/>
              <w:rPr>
                <w:sz w:val="1"/>
                <w:szCs w:val="1"/>
                <w:color w:val="auto"/>
              </w:rPr>
            </w:pPr>
          </w:p>
        </w:tc>
      </w:tr>
      <w:tr>
        <w:trPr>
          <w:trHeight w:val="15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Servicing and placement fees</w:t>
            </w: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4,620</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4,620</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Expenses</w:t>
            </w:r>
          </w:p>
        </w:tc>
        <w:tc>
          <w:tcPr>
            <w:tcW w:w="2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49,290</w:t>
            </w:r>
          </w:p>
        </w:tc>
        <w:tc>
          <w:tcPr>
            <w:tcW w:w="2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22,266</w:t>
            </w:r>
          </w:p>
        </w:tc>
        <w:tc>
          <w:tcPr>
            <w:tcW w:w="2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2,695</w:t>
            </w:r>
          </w:p>
        </w:tc>
        <w:tc>
          <w:tcPr>
            <w:tcW w:w="5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74,251</w:t>
            </w:r>
          </w:p>
        </w:tc>
        <w:tc>
          <w:tcPr>
            <w:tcW w:w="0" w:type="dxa"/>
            <w:vAlign w:val="bottom"/>
          </w:tcPr>
          <w:p>
            <w:pPr>
              <w:spacing w:after="0"/>
              <w:rPr>
                <w:sz w:val="1"/>
                <w:szCs w:val="1"/>
                <w:color w:val="auto"/>
              </w:rPr>
            </w:pPr>
          </w:p>
        </w:tc>
      </w:tr>
      <w:tr>
        <w:trPr>
          <w:trHeight w:val="149"/>
        </w:trPr>
        <w:tc>
          <w:tcPr>
            <w:tcW w:w="4160" w:type="dxa"/>
            <w:vAlign w:val="bottom"/>
          </w:tcPr>
          <w:p>
            <w:pPr>
              <w:ind w:left="20"/>
              <w:spacing w:after="0"/>
              <w:rPr>
                <w:sz w:val="20"/>
                <w:szCs w:val="20"/>
                <w:color w:val="auto"/>
              </w:rPr>
            </w:pPr>
            <w:r>
              <w:rPr>
                <w:rFonts w:ascii="Arial" w:cs="Arial" w:eastAsia="Arial" w:hAnsi="Arial"/>
                <w:sz w:val="12"/>
                <w:szCs w:val="12"/>
                <w:b w:val="1"/>
                <w:bCs w:val="1"/>
                <w:color w:val="auto"/>
              </w:rPr>
              <w:t>Net operating income (loss)</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rPr>
              <w:t>(1,065)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2"/>
                <w:szCs w:val="12"/>
                <w:b w:val="1"/>
                <w:bCs w:val="1"/>
                <w:color w:val="auto"/>
              </w:rPr>
              <w:t>845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b w:val="1"/>
                <w:bCs w:val="1"/>
                <w:color w:val="auto"/>
              </w:rPr>
              <w:t>(2,695)</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b w:val="1"/>
                <w:bCs w:val="1"/>
                <w:color w:val="auto"/>
              </w:rPr>
              <w:t>(2,915)</w:t>
            </w:r>
          </w:p>
        </w:tc>
        <w:tc>
          <w:tcPr>
            <w:tcW w:w="0" w:type="dxa"/>
            <w:vAlign w:val="bottom"/>
          </w:tcPr>
          <w:p>
            <w:pPr>
              <w:spacing w:after="0"/>
              <w:rPr>
                <w:sz w:val="1"/>
                <w:szCs w:val="1"/>
                <w:color w:val="auto"/>
              </w:rPr>
            </w:pPr>
          </w:p>
        </w:tc>
      </w:tr>
      <w:tr>
        <w:trPr>
          <w:trHeight w:val="160"/>
        </w:trPr>
        <w:tc>
          <w:tcPr>
            <w:tcW w:w="4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change in unrealized appreciation (depreciation) on private investments</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(511)</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(511)</w:t>
            </w: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Arial" w:cs="Arial" w:eastAsia="Arial" w:hAnsi="Arial"/>
                <w:sz w:val="12"/>
                <w:szCs w:val="12"/>
                <w:color w:val="auto"/>
              </w:rPr>
              <w:t>Net investment income</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62"/>
        </w:trPr>
        <w:tc>
          <w:tcPr>
            <w:tcW w:w="4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income</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598</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598</w:t>
            </w:r>
          </w:p>
        </w:tc>
        <w:tc>
          <w:tcPr>
            <w:tcW w:w="0" w:type="dxa"/>
            <w:vAlign w:val="bottom"/>
          </w:tcPr>
          <w:p>
            <w:pPr>
              <w:spacing w:after="0"/>
              <w:rPr>
                <w:sz w:val="1"/>
                <w:szCs w:val="1"/>
                <w:color w:val="auto"/>
              </w:rPr>
            </w:pPr>
          </w:p>
        </w:tc>
      </w:tr>
      <w:tr>
        <w:trPr>
          <w:trHeight w:val="158"/>
        </w:trPr>
        <w:tc>
          <w:tcPr>
            <w:tcW w:w="4160" w:type="dxa"/>
            <w:vAlign w:val="bottom"/>
          </w:tcPr>
          <w:p>
            <w:pPr>
              <w:ind w:left="20"/>
              <w:spacing w:after="0"/>
              <w:rPr>
                <w:sz w:val="20"/>
                <w:szCs w:val="20"/>
                <w:color w:val="auto"/>
              </w:rPr>
            </w:pPr>
            <w:r>
              <w:rPr>
                <w:rFonts w:ascii="Arial" w:cs="Arial" w:eastAsia="Arial" w:hAnsi="Arial"/>
                <w:sz w:val="12"/>
                <w:szCs w:val="12"/>
                <w:color w:val="auto"/>
              </w:rPr>
              <w:t>Debt modification costs</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(298)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298</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6(C)</w:t>
            </w: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4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6(C)</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4160" w:type="dxa"/>
            <w:vAlign w:val="bottom"/>
          </w:tcPr>
          <w:p>
            <w:pPr>
              <w:ind w:left="20"/>
              <w:spacing w:after="0"/>
              <w:rPr>
                <w:sz w:val="20"/>
                <w:szCs w:val="20"/>
                <w:color w:val="auto"/>
              </w:rPr>
            </w:pPr>
            <w:r>
              <w:rPr>
                <w:rFonts w:ascii="Arial" w:cs="Arial" w:eastAsia="Arial" w:hAnsi="Arial"/>
                <w:sz w:val="12"/>
                <w:szCs w:val="12"/>
                <w:color w:val="auto"/>
              </w:rPr>
              <w:t>Restructuring fee</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(1,750)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1,750</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6(C)</w:t>
            </w:r>
          </w:p>
        </w:tc>
        <w:tc>
          <w:tcPr>
            <w:tcW w:w="13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4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in earnings of unconsolidated affiliates</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899</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899</w:t>
            </w:r>
          </w:p>
        </w:tc>
        <w:tc>
          <w:tcPr>
            <w:tcW w:w="0" w:type="dxa"/>
            <w:vAlign w:val="bottom"/>
          </w:tcPr>
          <w:p>
            <w:pPr>
              <w:spacing w:after="0"/>
              <w:rPr>
                <w:sz w:val="1"/>
                <w:szCs w:val="1"/>
                <w:color w:val="auto"/>
              </w:rPr>
            </w:pPr>
          </w:p>
        </w:tc>
      </w:tr>
      <w:tr>
        <w:trPr>
          <w:trHeight w:val="15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expense, net</w:t>
            </w: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(1,479)</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(1,479)</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(loss) before income taxes</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(885)</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(2,901)</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6(E)</w:t>
            </w: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(3,313)</w:t>
            </w:r>
          </w:p>
        </w:tc>
        <w:tc>
          <w:tcPr>
            <w:tcW w:w="0" w:type="dxa"/>
            <w:vAlign w:val="bottom"/>
          </w:tcPr>
          <w:p>
            <w:pPr>
              <w:spacing w:after="0"/>
              <w:rPr>
                <w:sz w:val="1"/>
                <w:szCs w:val="1"/>
                <w:color w:val="auto"/>
              </w:rPr>
            </w:pPr>
          </w:p>
        </w:tc>
      </w:tr>
      <w:tr>
        <w:trPr>
          <w:trHeight w:val="158"/>
        </w:trPr>
        <w:tc>
          <w:tcPr>
            <w:tcW w:w="4160" w:type="dxa"/>
            <w:vAlign w:val="bottom"/>
          </w:tcPr>
          <w:p>
            <w:pPr>
              <w:ind w:left="20"/>
              <w:spacing w:after="0"/>
              <w:rPr>
                <w:sz w:val="20"/>
                <w:szCs w:val="20"/>
                <w:color w:val="auto"/>
              </w:rPr>
            </w:pPr>
            <w:r>
              <w:rPr>
                <w:rFonts w:ascii="Arial" w:cs="Arial" w:eastAsia="Arial" w:hAnsi="Arial"/>
                <w:sz w:val="12"/>
                <w:szCs w:val="12"/>
                <w:color w:val="auto"/>
              </w:rPr>
              <w:t>Income tax provision</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618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(631)</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6(E)</w:t>
            </w:r>
          </w:p>
        </w:tc>
        <w:tc>
          <w:tcPr>
            <w:tcW w:w="1380" w:type="dxa"/>
            <w:vAlign w:val="bottom"/>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(1,503)</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(2,901)</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1,104</w:t>
            </w: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(3,300)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160" w:type="dxa"/>
            <w:vAlign w:val="bottom"/>
          </w:tcPr>
          <w:p>
            <w:pPr>
              <w:ind w:left="20"/>
              <w:spacing w:after="0" w:line="122" w:lineRule="exact"/>
              <w:rPr>
                <w:sz w:val="20"/>
                <w:szCs w:val="20"/>
                <w:color w:val="auto"/>
              </w:rPr>
            </w:pPr>
            <w:r>
              <w:rPr>
                <w:rFonts w:ascii="Arial" w:cs="Arial" w:eastAsia="Arial" w:hAnsi="Arial"/>
                <w:sz w:val="12"/>
                <w:szCs w:val="12"/>
                <w:color w:val="auto"/>
              </w:rPr>
              <w:t>Total comprehensive income (loss)</w:t>
            </w:r>
          </w:p>
        </w:tc>
        <w:tc>
          <w:tcPr>
            <w:tcW w:w="240" w:type="dxa"/>
            <w:vAlign w:val="bottom"/>
            <w:tcBorders>
              <w:top w:val="single" w:sz="8" w:color="auto"/>
              <w:bottom w:val="single" w:sz="8" w:color="auto"/>
            </w:tcBorders>
          </w:tcPr>
          <w:p>
            <w:pPr>
              <w:jc w:val="right"/>
              <w:ind w:right="100"/>
              <w:spacing w:after="0" w:line="122" w:lineRule="exact"/>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(1,503)</w:t>
            </w:r>
          </w:p>
        </w:tc>
        <w:tc>
          <w:tcPr>
            <w:tcW w:w="2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(2,901)</w:t>
            </w:r>
          </w:p>
        </w:tc>
        <w:tc>
          <w:tcPr>
            <w:tcW w:w="2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1,104</w:t>
            </w:r>
          </w:p>
        </w:tc>
        <w:tc>
          <w:tcPr>
            <w:tcW w:w="56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(3,300)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16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Earnings (loss) per share:</w:t>
            </w:r>
          </w:p>
        </w:tc>
        <w:tc>
          <w:tcPr>
            <w:tcW w:w="2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160" w:type="dxa"/>
            <w:vAlign w:val="bottom"/>
          </w:tcPr>
          <w:p>
            <w:pPr>
              <w:ind w:left="20"/>
              <w:spacing w:after="0"/>
              <w:rPr>
                <w:sz w:val="20"/>
                <w:szCs w:val="20"/>
                <w:color w:val="auto"/>
              </w:rPr>
            </w:pPr>
            <w:r>
              <w:rPr>
                <w:rFonts w:ascii="Arial" w:cs="Arial" w:eastAsia="Arial" w:hAnsi="Arial"/>
                <w:sz w:val="12"/>
                <w:szCs w:val="12"/>
                <w:color w:val="auto"/>
              </w:rPr>
              <w:t xml:space="preserve">Basic </w:t>
            </w:r>
            <w:r>
              <w:rPr>
                <w:rFonts w:ascii="Arial" w:cs="Arial" w:eastAsia="Arial" w:hAnsi="Arial"/>
                <w:sz w:val="12"/>
                <w:szCs w:val="12"/>
                <w:b w:val="1"/>
                <w:bCs w:val="1"/>
                <w:color w:val="auto"/>
              </w:rPr>
              <w:t>6(F)</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(0.19)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(0.42)</w:t>
            </w:r>
          </w:p>
        </w:tc>
        <w:tc>
          <w:tcPr>
            <w:tcW w:w="0" w:type="dxa"/>
            <w:vAlign w:val="bottom"/>
          </w:tcPr>
          <w:p>
            <w:pPr>
              <w:spacing w:after="0"/>
              <w:rPr>
                <w:sz w:val="1"/>
                <w:szCs w:val="1"/>
                <w:color w:val="auto"/>
              </w:rPr>
            </w:pPr>
          </w:p>
        </w:tc>
      </w:tr>
      <w:tr>
        <w:trPr>
          <w:trHeight w:val="160"/>
        </w:trPr>
        <w:tc>
          <w:tcPr>
            <w:tcW w:w="4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Diluted </w:t>
            </w:r>
            <w:r>
              <w:rPr>
                <w:rFonts w:ascii="Arial" w:cs="Arial" w:eastAsia="Arial" w:hAnsi="Arial"/>
                <w:sz w:val="12"/>
                <w:szCs w:val="12"/>
                <w:b w:val="1"/>
                <w:bCs w:val="1"/>
                <w:color w:val="auto"/>
              </w:rPr>
              <w:t>6(F)</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(0.19)</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(0.42)</w:t>
            </w: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Arial" w:cs="Arial" w:eastAsia="Arial" w:hAnsi="Arial"/>
                <w:sz w:val="12"/>
                <w:szCs w:val="12"/>
                <w:color w:val="auto"/>
              </w:rPr>
              <w:t>Weighted average shares outstanding:</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Basic</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7,867,555</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7,867,555</w:t>
            </w:r>
          </w:p>
        </w:tc>
        <w:tc>
          <w:tcPr>
            <w:tcW w:w="0" w:type="dxa"/>
            <w:vAlign w:val="bottom"/>
          </w:tcPr>
          <w:p>
            <w:pPr>
              <w:spacing w:after="0"/>
              <w:rPr>
                <w:sz w:val="1"/>
                <w:szCs w:val="1"/>
                <w:color w:val="auto"/>
              </w:rPr>
            </w:pPr>
          </w:p>
        </w:tc>
      </w:tr>
      <w:tr>
        <w:trPr>
          <w:trHeight w:val="153"/>
        </w:trPr>
        <w:tc>
          <w:tcPr>
            <w:tcW w:w="4160" w:type="dxa"/>
            <w:vAlign w:val="bottom"/>
          </w:tcPr>
          <w:p>
            <w:pPr>
              <w:ind w:left="20"/>
              <w:spacing w:after="0"/>
              <w:rPr>
                <w:sz w:val="20"/>
                <w:szCs w:val="20"/>
                <w:color w:val="auto"/>
              </w:rPr>
            </w:pPr>
            <w:r>
              <w:rPr>
                <w:rFonts w:ascii="Arial" w:cs="Arial" w:eastAsia="Arial" w:hAnsi="Arial"/>
                <w:sz w:val="12"/>
                <w:szCs w:val="12"/>
                <w:color w:val="auto"/>
              </w:rPr>
              <w:t>Diluted</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7,867,555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7,867,555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1173" w:right="319" w:bottom="1440" w:gutter="0" w:footer="0" w:header="0"/>
        </w:sectPr>
      </w:pPr>
    </w:p>
    <w:bookmarkStart w:id="62" w:name="page63"/>
    <w:bookmarkEnd w:id="62"/>
    <w:p>
      <w:pPr>
        <w:jc w:val="center"/>
        <w:spacing w:after="0"/>
        <w:rPr>
          <w:sz w:val="20"/>
          <w:szCs w:val="20"/>
          <w:color w:val="auto"/>
        </w:rPr>
      </w:pPr>
      <w:r>
        <w:rPr>
          <w:rFonts w:ascii="Arial" w:cs="Arial" w:eastAsia="Arial" w:hAnsi="Arial"/>
          <w:sz w:val="11"/>
          <w:szCs w:val="11"/>
          <w:b w:val="1"/>
          <w:bCs w:val="1"/>
          <w:color w:val="auto"/>
        </w:rPr>
        <w:t>UNAUDITED PRO FORMA CONDENSED COMBINED STATEMENT OF OPERATIONS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For the Year Ended December 31, 2021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(in thousands, except per share amounts)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00" w:type="dxa"/>
            <w:vAlign w:val="bottom"/>
            <w:gridSpan w:val="4"/>
          </w:tcPr>
          <w:p>
            <w:pPr>
              <w:jc w:val="center"/>
              <w:ind w:right="1540"/>
              <w:spacing w:after="0"/>
              <w:rPr>
                <w:sz w:val="20"/>
                <w:szCs w:val="20"/>
                <w:color w:val="auto"/>
              </w:rPr>
            </w:pPr>
            <w:r>
              <w:rPr>
                <w:rFonts w:ascii="Arial" w:cs="Arial" w:eastAsia="Arial" w:hAnsi="Arial"/>
                <w:sz w:val="11"/>
                <w:szCs w:val="11"/>
                <w:b w:val="1"/>
                <w:bCs w:val="1"/>
                <w:color w:val="auto"/>
                <w:w w:val="95"/>
              </w:rPr>
              <w:t>Historical</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960" w:type="dxa"/>
            <w:vAlign w:val="bottom"/>
          </w:tcPr>
          <w:p>
            <w:pPr>
              <w:spacing w:after="0"/>
              <w:rPr>
                <w:sz w:val="9"/>
                <w:szCs w:val="9"/>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Westwood</w:t>
            </w:r>
          </w:p>
        </w:tc>
        <w:tc>
          <w:tcPr>
            <w:tcW w:w="4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540" w:type="dxa"/>
            <w:vAlign w:val="bottom"/>
            <w:tcBorders>
              <w:top w:val="single" w:sz="8" w:color="auto"/>
            </w:tcBorders>
          </w:tcPr>
          <w:p>
            <w:pPr>
              <w:jc w:val="center"/>
              <w:ind w:right="63"/>
              <w:spacing w:after="0" w:line="110" w:lineRule="exact"/>
              <w:rPr>
                <w:sz w:val="20"/>
                <w:szCs w:val="20"/>
                <w:color w:val="auto"/>
              </w:rPr>
            </w:pPr>
            <w:r>
              <w:rPr>
                <w:rFonts w:ascii="Arial" w:cs="Arial" w:eastAsia="Arial" w:hAnsi="Arial"/>
                <w:sz w:val="11"/>
                <w:szCs w:val="11"/>
                <w:b w:val="1"/>
                <w:bCs w:val="1"/>
                <w:color w:val="auto"/>
                <w:w w:val="91"/>
              </w:rPr>
              <w:t>Salient Partners Reclassified</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gridSpan w:val="2"/>
          </w:tcPr>
          <w:p>
            <w:pPr>
              <w:ind w:left="180"/>
              <w:spacing w:after="0" w:line="110" w:lineRule="exact"/>
              <w:rPr>
                <w:sz w:val="20"/>
                <w:szCs w:val="20"/>
                <w:color w:val="auto"/>
              </w:rPr>
            </w:pPr>
            <w:r>
              <w:rPr>
                <w:rFonts w:ascii="Arial" w:cs="Arial" w:eastAsia="Arial" w:hAnsi="Arial"/>
                <w:sz w:val="11"/>
                <w:szCs w:val="11"/>
                <w:b w:val="1"/>
                <w:bCs w:val="1"/>
                <w:color w:val="auto"/>
              </w:rPr>
              <w:t>Other Transaction</w:t>
            </w:r>
          </w:p>
        </w:tc>
        <w:tc>
          <w:tcPr>
            <w:tcW w:w="80" w:type="dxa"/>
            <w:vAlign w:val="bottom"/>
          </w:tcPr>
          <w:p>
            <w:pPr>
              <w:spacing w:after="0"/>
              <w:rPr>
                <w:sz w:val="9"/>
                <w:szCs w:val="9"/>
                <w:color w:val="auto"/>
              </w:rPr>
            </w:pPr>
          </w:p>
        </w:tc>
        <w:tc>
          <w:tcPr>
            <w:tcW w:w="1280" w:type="dxa"/>
            <w:vAlign w:val="bottom"/>
          </w:tcPr>
          <w:p>
            <w:pPr>
              <w:jc w:val="right"/>
              <w:ind w:right="43"/>
              <w:spacing w:after="0" w:line="110" w:lineRule="exact"/>
              <w:rPr>
                <w:sz w:val="20"/>
                <w:szCs w:val="20"/>
                <w:color w:val="auto"/>
              </w:rPr>
            </w:pPr>
            <w:r>
              <w:rPr>
                <w:rFonts w:ascii="Arial" w:cs="Arial" w:eastAsia="Arial" w:hAnsi="Arial"/>
                <w:sz w:val="11"/>
                <w:szCs w:val="11"/>
                <w:b w:val="1"/>
                <w:bCs w:val="1"/>
                <w:color w:val="auto"/>
                <w:w w:val="92"/>
              </w:rPr>
              <w:t>Transaction Accounting</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right"/>
              <w:ind w:right="63"/>
              <w:spacing w:after="0"/>
              <w:rPr>
                <w:sz w:val="20"/>
                <w:szCs w:val="20"/>
                <w:color w:val="auto"/>
              </w:rPr>
            </w:pPr>
            <w:r>
              <w:rPr>
                <w:rFonts w:ascii="Arial" w:cs="Arial" w:eastAsia="Arial" w:hAnsi="Arial"/>
                <w:sz w:val="11"/>
                <w:szCs w:val="11"/>
                <w:b w:val="1"/>
                <w:bCs w:val="1"/>
                <w:color w:val="auto"/>
                <w:w w:val="94"/>
              </w:rPr>
              <w:t>Pro Forma Combined</w:t>
            </w:r>
          </w:p>
        </w:tc>
        <w:tc>
          <w:tcPr>
            <w:tcW w:w="0" w:type="dxa"/>
            <w:vAlign w:val="bottom"/>
          </w:tcPr>
          <w:p>
            <w:pPr>
              <w:spacing w:after="0"/>
              <w:rPr>
                <w:sz w:val="1"/>
                <w:szCs w:val="1"/>
                <w:color w:val="auto"/>
              </w:rPr>
            </w:pPr>
          </w:p>
        </w:tc>
      </w:tr>
      <w:tr>
        <w:trPr>
          <w:trHeight w:val="147"/>
        </w:trPr>
        <w:tc>
          <w:tcPr>
            <w:tcW w:w="29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(Note 2)</w:t>
            </w:r>
          </w:p>
        </w:tc>
        <w:tc>
          <w:tcPr>
            <w:tcW w:w="100" w:type="dxa"/>
            <w:vAlign w:val="bottom"/>
          </w:tcPr>
          <w:p>
            <w:pPr>
              <w:spacing w:after="0"/>
              <w:rPr>
                <w:sz w:val="12"/>
                <w:szCs w:val="12"/>
                <w:color w:val="auto"/>
              </w:rPr>
            </w:pPr>
          </w:p>
        </w:tc>
        <w:tc>
          <w:tcPr>
            <w:tcW w:w="1580" w:type="dxa"/>
            <w:vAlign w:val="bottom"/>
            <w:gridSpan w:val="2"/>
          </w:tcPr>
          <w:p>
            <w:pPr>
              <w:ind w:left="20"/>
              <w:spacing w:after="0"/>
              <w:rPr>
                <w:sz w:val="20"/>
                <w:szCs w:val="20"/>
                <w:color w:val="auto"/>
              </w:rPr>
            </w:pPr>
            <w:r>
              <w:rPr>
                <w:rFonts w:ascii="Arial" w:cs="Arial" w:eastAsia="Arial" w:hAnsi="Arial"/>
                <w:sz w:val="11"/>
                <w:szCs w:val="11"/>
                <w:b w:val="1"/>
                <w:bCs w:val="1"/>
                <w:color w:val="auto"/>
              </w:rPr>
              <w:t>Accounting Adjustments</w:t>
            </w:r>
          </w:p>
        </w:tc>
        <w:tc>
          <w:tcPr>
            <w:tcW w:w="80" w:type="dxa"/>
            <w:vAlign w:val="bottom"/>
          </w:tcPr>
          <w:p>
            <w:pPr>
              <w:spacing w:after="0"/>
              <w:rPr>
                <w:sz w:val="12"/>
                <w:szCs w:val="12"/>
                <w:color w:val="auto"/>
              </w:rPr>
            </w:pPr>
          </w:p>
        </w:tc>
        <w:tc>
          <w:tcPr>
            <w:tcW w:w="1280" w:type="dxa"/>
            <w:vAlign w:val="bottom"/>
          </w:tcPr>
          <w:p>
            <w:pPr>
              <w:jc w:val="right"/>
              <w:ind w:right="323"/>
              <w:spacing w:after="0"/>
              <w:rPr>
                <w:sz w:val="20"/>
                <w:szCs w:val="20"/>
                <w:color w:val="auto"/>
              </w:rPr>
            </w:pPr>
            <w:r>
              <w:rPr>
                <w:rFonts w:ascii="Arial" w:cs="Arial" w:eastAsia="Arial" w:hAnsi="Arial"/>
                <w:sz w:val="11"/>
                <w:szCs w:val="11"/>
                <w:b w:val="1"/>
                <w:bCs w:val="1"/>
                <w:color w:val="auto"/>
              </w:rPr>
              <w:t>Adjustments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960" w:type="dxa"/>
            <w:vAlign w:val="bottom"/>
          </w:tcPr>
          <w:p>
            <w:pPr>
              <w:ind w:left="20"/>
              <w:spacing w:after="0"/>
              <w:rPr>
                <w:sz w:val="20"/>
                <w:szCs w:val="20"/>
                <w:color w:val="auto"/>
              </w:rPr>
            </w:pPr>
            <w:r>
              <w:rPr>
                <w:rFonts w:ascii="Arial" w:cs="Arial" w:eastAsia="Arial" w:hAnsi="Arial"/>
                <w:sz w:val="11"/>
                <w:szCs w:val="11"/>
                <w:b w:val="1"/>
                <w:bCs w:val="1"/>
                <w:color w:val="auto"/>
              </w:rPr>
              <w:t>Revenues</w:t>
            </w: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Advisory Fees</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60" w:type="dxa"/>
            <w:vAlign w:val="bottom"/>
          </w:tcPr>
          <w:p>
            <w:pPr>
              <w:ind w:left="100"/>
              <w:spacing w:after="0"/>
              <w:rPr>
                <w:sz w:val="20"/>
                <w:szCs w:val="20"/>
                <w:color w:val="auto"/>
              </w:rPr>
            </w:pPr>
            <w:r>
              <w:rPr>
                <w:rFonts w:ascii="Arial" w:cs="Arial" w:eastAsia="Arial" w:hAnsi="Arial"/>
                <w:sz w:val="11"/>
                <w:szCs w:val="11"/>
                <w:color w:val="auto"/>
              </w:rPr>
              <w:t>Asset-based</w:t>
            </w:r>
          </w:p>
        </w:tc>
        <w:tc>
          <w:tcPr>
            <w:tcW w:w="920" w:type="dxa"/>
            <w:vAlign w:val="bottom"/>
          </w:tcPr>
          <w:p>
            <w:pPr>
              <w:jc w:val="right"/>
              <w:ind w:right="806"/>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ind w:right="3"/>
              <w:spacing w:after="0"/>
              <w:rPr>
                <w:sz w:val="20"/>
                <w:szCs w:val="20"/>
                <w:color w:val="auto"/>
              </w:rPr>
            </w:pPr>
            <w:r>
              <w:rPr>
                <w:rFonts w:ascii="Arial" w:cs="Arial" w:eastAsia="Arial" w:hAnsi="Arial"/>
                <w:sz w:val="11"/>
                <w:szCs w:val="11"/>
                <w:color w:val="auto"/>
                <w:w w:val="94"/>
              </w:rPr>
              <w:t>45,927</w:t>
            </w: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540" w:type="dxa"/>
            <w:vAlign w:val="bottom"/>
          </w:tcPr>
          <w:p>
            <w:pPr>
              <w:jc w:val="right"/>
              <w:spacing w:after="0"/>
              <w:rPr>
                <w:sz w:val="20"/>
                <w:szCs w:val="20"/>
                <w:color w:val="auto"/>
              </w:rPr>
            </w:pPr>
            <w:r>
              <w:rPr>
                <w:rFonts w:ascii="Arial" w:cs="Arial" w:eastAsia="Arial" w:hAnsi="Arial"/>
                <w:sz w:val="11"/>
                <w:szCs w:val="11"/>
                <w:color w:val="auto"/>
              </w:rPr>
              <w:t>28,111</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80" w:type="dxa"/>
            <w:vAlign w:val="bottom"/>
            <w:gridSpan w:val="2"/>
          </w:tcPr>
          <w:p>
            <w:pPr>
              <w:ind w:left="118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74,038</w:t>
            </w:r>
          </w:p>
        </w:tc>
        <w:tc>
          <w:tcPr>
            <w:tcW w:w="0" w:type="dxa"/>
            <w:vAlign w:val="bottom"/>
          </w:tcPr>
          <w:p>
            <w:pPr>
              <w:spacing w:after="0"/>
              <w:rPr>
                <w:sz w:val="1"/>
                <w:szCs w:val="1"/>
                <w:color w:val="auto"/>
              </w:rPr>
            </w:pPr>
          </w:p>
        </w:tc>
      </w:tr>
      <w:tr>
        <w:trPr>
          <w:trHeight w:val="166"/>
        </w:trPr>
        <w:tc>
          <w:tcPr>
            <w:tcW w:w="29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Performance-based</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3,335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3,335</w:t>
            </w:r>
          </w:p>
        </w:tc>
        <w:tc>
          <w:tcPr>
            <w:tcW w:w="0" w:type="dxa"/>
            <w:vAlign w:val="bottom"/>
          </w:tcPr>
          <w:p>
            <w:pPr>
              <w:spacing w:after="0"/>
              <w:rPr>
                <w:sz w:val="1"/>
                <w:szCs w:val="1"/>
                <w:color w:val="auto"/>
              </w:rPr>
            </w:pPr>
          </w:p>
        </w:tc>
      </w:tr>
      <w:tr>
        <w:trPr>
          <w:trHeight w:val="152"/>
        </w:trPr>
        <w:tc>
          <w:tcPr>
            <w:tcW w:w="2960" w:type="dxa"/>
            <w:vAlign w:val="bottom"/>
          </w:tcPr>
          <w:p>
            <w:pPr>
              <w:ind w:left="20"/>
              <w:spacing w:after="0"/>
              <w:rPr>
                <w:sz w:val="20"/>
                <w:szCs w:val="20"/>
                <w:color w:val="auto"/>
              </w:rPr>
            </w:pPr>
            <w:r>
              <w:rPr>
                <w:rFonts w:ascii="Arial" w:cs="Arial" w:eastAsia="Arial" w:hAnsi="Arial"/>
                <w:sz w:val="11"/>
                <w:szCs w:val="11"/>
                <w:color w:val="auto"/>
              </w:rPr>
              <w:t>Trust fees</w:t>
            </w:r>
          </w:p>
        </w:tc>
        <w:tc>
          <w:tcPr>
            <w:tcW w:w="92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w w:val="94"/>
              </w:rPr>
              <w:t>24,030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580" w:type="dxa"/>
            <w:vAlign w:val="bottom"/>
            <w:gridSpan w:val="2"/>
          </w:tcPr>
          <w:p>
            <w:pPr>
              <w:ind w:left="1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24,030</w:t>
            </w:r>
          </w:p>
        </w:tc>
        <w:tc>
          <w:tcPr>
            <w:tcW w:w="0" w:type="dxa"/>
            <w:vAlign w:val="bottom"/>
          </w:tcPr>
          <w:p>
            <w:pPr>
              <w:spacing w:after="0"/>
              <w:rPr>
                <w:sz w:val="1"/>
                <w:szCs w:val="1"/>
                <w:color w:val="auto"/>
              </w:rPr>
            </w:pPr>
          </w:p>
        </w:tc>
      </w:tr>
      <w:tr>
        <w:trPr>
          <w:trHeight w:val="166"/>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Trust performance-based</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w:t>
            </w:r>
          </w:p>
        </w:tc>
        <w:tc>
          <w:tcPr>
            <w:tcW w:w="0" w:type="dxa"/>
            <w:vAlign w:val="bottom"/>
          </w:tcPr>
          <w:p>
            <w:pPr>
              <w:spacing w:after="0"/>
              <w:rPr>
                <w:sz w:val="1"/>
                <w:szCs w:val="1"/>
                <w:color w:val="auto"/>
              </w:rPr>
            </w:pPr>
          </w:p>
        </w:tc>
      </w:tr>
      <w:tr>
        <w:trPr>
          <w:trHeight w:val="152"/>
        </w:trPr>
        <w:tc>
          <w:tcPr>
            <w:tcW w:w="2960" w:type="dxa"/>
            <w:vAlign w:val="bottom"/>
          </w:tcPr>
          <w:p>
            <w:pPr>
              <w:ind w:left="20"/>
              <w:spacing w:after="0"/>
              <w:rPr>
                <w:sz w:val="20"/>
                <w:szCs w:val="20"/>
                <w:color w:val="auto"/>
              </w:rPr>
            </w:pPr>
            <w:r>
              <w:rPr>
                <w:rFonts w:ascii="Arial" w:cs="Arial" w:eastAsia="Arial" w:hAnsi="Arial"/>
                <w:sz w:val="11"/>
                <w:szCs w:val="11"/>
                <w:color w:val="auto"/>
              </w:rPr>
              <w:t>Other, net</w:t>
            </w:r>
          </w:p>
        </w:tc>
        <w:tc>
          <w:tcPr>
            <w:tcW w:w="9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(339)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580" w:type="dxa"/>
            <w:vAlign w:val="bottom"/>
            <w:gridSpan w:val="2"/>
          </w:tcPr>
          <w:p>
            <w:pPr>
              <w:ind w:left="1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(339)</w:t>
            </w:r>
          </w:p>
        </w:tc>
        <w:tc>
          <w:tcPr>
            <w:tcW w:w="0" w:type="dxa"/>
            <w:vAlign w:val="bottom"/>
          </w:tcPr>
          <w:p>
            <w:pPr>
              <w:spacing w:after="0"/>
              <w:rPr>
                <w:sz w:val="1"/>
                <w:szCs w:val="1"/>
                <w:color w:val="auto"/>
              </w:rPr>
            </w:pPr>
          </w:p>
        </w:tc>
      </w:tr>
      <w:tr>
        <w:trPr>
          <w:trHeight w:val="166"/>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Private placement commission</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w:t>
            </w:r>
          </w:p>
        </w:tc>
        <w:tc>
          <w:tcPr>
            <w:tcW w:w="0" w:type="dxa"/>
            <w:vAlign w:val="bottom"/>
          </w:tcPr>
          <w:p>
            <w:pPr>
              <w:spacing w:after="0"/>
              <w:rPr>
                <w:sz w:val="1"/>
                <w:szCs w:val="1"/>
                <w:color w:val="auto"/>
              </w:rPr>
            </w:pPr>
          </w:p>
        </w:tc>
      </w:tr>
      <w:tr>
        <w:trPr>
          <w:trHeight w:val="143"/>
        </w:trPr>
        <w:tc>
          <w:tcPr>
            <w:tcW w:w="2960" w:type="dxa"/>
            <w:vAlign w:val="bottom"/>
          </w:tcPr>
          <w:p>
            <w:pPr>
              <w:ind w:left="180"/>
              <w:spacing w:after="0"/>
              <w:rPr>
                <w:sz w:val="20"/>
                <w:szCs w:val="20"/>
                <w:color w:val="auto"/>
              </w:rPr>
            </w:pPr>
            <w:r>
              <w:rPr>
                <w:rFonts w:ascii="Arial" w:cs="Arial" w:eastAsia="Arial" w:hAnsi="Arial"/>
                <w:sz w:val="11"/>
                <w:szCs w:val="11"/>
                <w:color w:val="auto"/>
              </w:rPr>
              <w:t>Total Revenues</w:t>
            </w: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w w:val="94"/>
              </w:rPr>
              <w:t>73,054</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28,411</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ind w:left="1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101,465</w:t>
            </w:r>
          </w:p>
        </w:tc>
        <w:tc>
          <w:tcPr>
            <w:tcW w:w="0" w:type="dxa"/>
            <w:vAlign w:val="bottom"/>
          </w:tcPr>
          <w:p>
            <w:pPr>
              <w:spacing w:after="0"/>
              <w:rPr>
                <w:sz w:val="1"/>
                <w:szCs w:val="1"/>
                <w:color w:val="auto"/>
              </w:rPr>
            </w:pPr>
          </w:p>
        </w:tc>
      </w:tr>
      <w:tr>
        <w:trPr>
          <w:trHeight w:val="166"/>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Expenses</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60" w:type="dxa"/>
            <w:vAlign w:val="bottom"/>
          </w:tcPr>
          <w:p>
            <w:pPr>
              <w:ind w:left="20"/>
              <w:spacing w:after="0"/>
              <w:rPr>
                <w:sz w:val="20"/>
                <w:szCs w:val="20"/>
                <w:color w:val="auto"/>
              </w:rPr>
            </w:pPr>
            <w:r>
              <w:rPr>
                <w:rFonts w:ascii="Arial" w:cs="Arial" w:eastAsia="Arial" w:hAnsi="Arial"/>
                <w:sz w:val="11"/>
                <w:szCs w:val="11"/>
                <w:color w:val="auto"/>
              </w:rPr>
              <w:t>Employee compensation and benefits</w:t>
            </w:r>
          </w:p>
        </w:tc>
        <w:tc>
          <w:tcPr>
            <w:tcW w:w="92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w w:val="94"/>
              </w:rPr>
              <w:t>42,532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15,864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1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600</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6(B)</w:t>
            </w:r>
          </w:p>
        </w:tc>
        <w:tc>
          <w:tcPr>
            <w:tcW w:w="1200" w:type="dxa"/>
            <w:vAlign w:val="bottom"/>
          </w:tcPr>
          <w:p>
            <w:pPr>
              <w:jc w:val="right"/>
              <w:spacing w:after="0"/>
              <w:rPr>
                <w:sz w:val="20"/>
                <w:szCs w:val="20"/>
                <w:color w:val="auto"/>
              </w:rPr>
            </w:pPr>
            <w:r>
              <w:rPr>
                <w:rFonts w:ascii="Arial" w:cs="Arial" w:eastAsia="Arial" w:hAnsi="Arial"/>
                <w:sz w:val="11"/>
                <w:szCs w:val="11"/>
                <w:color w:val="auto"/>
              </w:rPr>
              <w:t>59,996</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6(D)</w:t>
            </w: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60" w:type="dxa"/>
            <w:vAlign w:val="bottom"/>
          </w:tcPr>
          <w:p>
            <w:pPr>
              <w:ind w:left="20"/>
              <w:spacing w:after="0"/>
              <w:rPr>
                <w:sz w:val="20"/>
                <w:szCs w:val="20"/>
                <w:color w:val="auto"/>
              </w:rPr>
            </w:pPr>
            <w:r>
              <w:rPr>
                <w:rFonts w:ascii="Arial" w:cs="Arial" w:eastAsia="Arial" w:hAnsi="Arial"/>
                <w:sz w:val="11"/>
                <w:szCs w:val="11"/>
                <w:color w:val="auto"/>
              </w:rPr>
              <w:t>Sales and marketing</w:t>
            </w:r>
          </w:p>
        </w:tc>
        <w:tc>
          <w:tcPr>
            <w:tcW w:w="92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1,280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96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1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1,376</w:t>
            </w:r>
          </w:p>
        </w:tc>
        <w:tc>
          <w:tcPr>
            <w:tcW w:w="0" w:type="dxa"/>
            <w:vAlign w:val="bottom"/>
          </w:tcPr>
          <w:p>
            <w:pPr>
              <w:spacing w:after="0"/>
              <w:rPr>
                <w:sz w:val="1"/>
                <w:szCs w:val="1"/>
                <w:color w:val="auto"/>
              </w:rPr>
            </w:pPr>
          </w:p>
        </w:tc>
      </w:tr>
      <w:tr>
        <w:trPr>
          <w:trHeight w:val="166"/>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Westwood mutual funds</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2,657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2,657</w:t>
            </w:r>
          </w:p>
        </w:tc>
        <w:tc>
          <w:tcPr>
            <w:tcW w:w="0" w:type="dxa"/>
            <w:vAlign w:val="bottom"/>
          </w:tcPr>
          <w:p>
            <w:pPr>
              <w:spacing w:after="0"/>
              <w:rPr>
                <w:sz w:val="1"/>
                <w:szCs w:val="1"/>
                <w:color w:val="auto"/>
              </w:rPr>
            </w:pPr>
          </w:p>
        </w:tc>
      </w:tr>
      <w:tr>
        <w:trPr>
          <w:trHeight w:val="153"/>
        </w:trPr>
        <w:tc>
          <w:tcPr>
            <w:tcW w:w="2960" w:type="dxa"/>
            <w:vAlign w:val="bottom"/>
          </w:tcPr>
          <w:p>
            <w:pPr>
              <w:ind w:left="20"/>
              <w:spacing w:after="0"/>
              <w:rPr>
                <w:sz w:val="20"/>
                <w:szCs w:val="20"/>
                <w:color w:val="auto"/>
              </w:rPr>
            </w:pPr>
            <w:r>
              <w:rPr>
                <w:rFonts w:ascii="Arial" w:cs="Arial" w:eastAsia="Arial" w:hAnsi="Arial"/>
                <w:sz w:val="11"/>
                <w:szCs w:val="11"/>
                <w:color w:val="auto"/>
              </w:rPr>
              <w:t>Information technology</w:t>
            </w:r>
          </w:p>
        </w:tc>
        <w:tc>
          <w:tcPr>
            <w:tcW w:w="92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8,161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2,855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1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909</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6(B)</w:t>
            </w:r>
          </w:p>
        </w:tc>
        <w:tc>
          <w:tcPr>
            <w:tcW w:w="1200" w:type="dxa"/>
            <w:vAlign w:val="bottom"/>
          </w:tcPr>
          <w:p>
            <w:pPr>
              <w:jc w:val="right"/>
              <w:spacing w:after="0"/>
              <w:rPr>
                <w:sz w:val="20"/>
                <w:szCs w:val="20"/>
                <w:color w:val="auto"/>
              </w:rPr>
            </w:pPr>
            <w:r>
              <w:rPr>
                <w:rFonts w:ascii="Arial" w:cs="Arial" w:eastAsia="Arial" w:hAnsi="Arial"/>
                <w:sz w:val="11"/>
                <w:szCs w:val="11"/>
                <w:color w:val="auto"/>
              </w:rPr>
              <w:t>11,925</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Professional services</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4,391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2,914</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4,888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6(B)</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12,193</w:t>
            </w:r>
          </w:p>
        </w:tc>
        <w:tc>
          <w:tcPr>
            <w:tcW w:w="0" w:type="dxa"/>
            <w:vAlign w:val="bottom"/>
          </w:tcPr>
          <w:p>
            <w:pPr>
              <w:spacing w:after="0"/>
              <w:rPr>
                <w:sz w:val="1"/>
                <w:szCs w:val="1"/>
                <w:color w:val="auto"/>
              </w:rPr>
            </w:pPr>
          </w:p>
        </w:tc>
      </w:tr>
      <w:tr>
        <w:trPr>
          <w:trHeight w:val="153"/>
        </w:trPr>
        <w:tc>
          <w:tcPr>
            <w:tcW w:w="296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92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8,074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2,299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1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2,593</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6(A)</w:t>
            </w:r>
          </w:p>
        </w:tc>
        <w:tc>
          <w:tcPr>
            <w:tcW w:w="1200" w:type="dxa"/>
            <w:vAlign w:val="bottom"/>
          </w:tcPr>
          <w:p>
            <w:pPr>
              <w:jc w:val="right"/>
              <w:spacing w:after="0"/>
              <w:rPr>
                <w:sz w:val="20"/>
                <w:szCs w:val="20"/>
                <w:color w:val="auto"/>
              </w:rPr>
            </w:pPr>
            <w:r>
              <w:rPr>
                <w:rFonts w:ascii="Arial" w:cs="Arial" w:eastAsia="Arial" w:hAnsi="Arial"/>
                <w:sz w:val="11"/>
                <w:szCs w:val="11"/>
                <w:color w:val="auto"/>
              </w:rPr>
              <w:t>13,049</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6(B)</w:t>
            </w: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60" w:type="dxa"/>
            <w:vAlign w:val="bottom"/>
          </w:tcPr>
          <w:p>
            <w:pPr>
              <w:ind w:left="20"/>
              <w:spacing w:after="0"/>
              <w:rPr>
                <w:sz w:val="20"/>
                <w:szCs w:val="20"/>
                <w:color w:val="auto"/>
              </w:rPr>
            </w:pPr>
            <w:r>
              <w:rPr>
                <w:rFonts w:ascii="Arial" w:cs="Arial" w:eastAsia="Arial" w:hAnsi="Arial"/>
                <w:sz w:val="11"/>
                <w:szCs w:val="11"/>
                <w:color w:val="auto"/>
              </w:rPr>
              <w:t>Servicing and placement fees</w:t>
            </w:r>
          </w:p>
        </w:tc>
        <w:tc>
          <w:tcPr>
            <w:tcW w:w="92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5,706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1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5,706</w:t>
            </w:r>
          </w:p>
        </w:tc>
        <w:tc>
          <w:tcPr>
            <w:tcW w:w="0" w:type="dxa"/>
            <w:vAlign w:val="bottom"/>
          </w:tcPr>
          <w:p>
            <w:pPr>
              <w:spacing w:after="0"/>
              <w:rPr>
                <w:sz w:val="1"/>
                <w:szCs w:val="1"/>
                <w:color w:val="auto"/>
              </w:rPr>
            </w:pPr>
          </w:p>
        </w:tc>
      </w:tr>
      <w:tr>
        <w:trPr>
          <w:trHeight w:val="157"/>
        </w:trPr>
        <w:tc>
          <w:tcPr>
            <w:tcW w:w="29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Total Expenses</w:t>
            </w:r>
          </w:p>
        </w:tc>
        <w:tc>
          <w:tcPr>
            <w:tcW w:w="92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4"/>
              </w:rPr>
              <w:t>67,095</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29,734</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3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1"/>
                <w:szCs w:val="11"/>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10,073</w:t>
            </w:r>
          </w:p>
        </w:tc>
        <w:tc>
          <w:tcPr>
            <w:tcW w:w="5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106,902</w:t>
            </w:r>
          </w:p>
        </w:tc>
        <w:tc>
          <w:tcPr>
            <w:tcW w:w="0" w:type="dxa"/>
            <w:vAlign w:val="bottom"/>
          </w:tcPr>
          <w:p>
            <w:pPr>
              <w:spacing w:after="0"/>
              <w:rPr>
                <w:sz w:val="1"/>
                <w:szCs w:val="1"/>
                <w:color w:val="auto"/>
              </w:rPr>
            </w:pPr>
          </w:p>
        </w:tc>
      </w:tr>
      <w:tr>
        <w:trPr>
          <w:trHeight w:val="144"/>
        </w:trPr>
        <w:tc>
          <w:tcPr>
            <w:tcW w:w="2960" w:type="dxa"/>
            <w:vAlign w:val="bottom"/>
          </w:tcPr>
          <w:p>
            <w:pPr>
              <w:ind w:left="20"/>
              <w:spacing w:after="0"/>
              <w:rPr>
                <w:sz w:val="20"/>
                <w:szCs w:val="20"/>
                <w:color w:val="auto"/>
              </w:rPr>
            </w:pPr>
            <w:r>
              <w:rPr>
                <w:rFonts w:ascii="Arial" w:cs="Arial" w:eastAsia="Arial" w:hAnsi="Arial"/>
                <w:sz w:val="11"/>
                <w:szCs w:val="11"/>
                <w:b w:val="1"/>
                <w:bCs w:val="1"/>
                <w:color w:val="auto"/>
              </w:rPr>
              <w:t>Net operating income (loss)</w:t>
            </w:r>
          </w:p>
        </w:tc>
        <w:tc>
          <w:tcPr>
            <w:tcW w:w="920" w:type="dxa"/>
            <w:vAlign w:val="bottom"/>
          </w:tcPr>
          <w:p>
            <w:pPr>
              <w:spacing w:after="0"/>
              <w:rPr>
                <w:sz w:val="12"/>
                <w:szCs w:val="12"/>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b w:val="1"/>
                <w:bCs w:val="1"/>
                <w:color w:val="auto"/>
              </w:rPr>
              <w:t>5,959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1"/>
                <w:szCs w:val="11"/>
                <w:b w:val="1"/>
                <w:bCs w:val="1"/>
                <w:color w:val="auto"/>
              </w:rPr>
              <w:t>(1,323)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ind w:left="118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b w:val="1"/>
                <w:bCs w:val="1"/>
                <w:color w:val="auto"/>
              </w:rPr>
              <w:t>(10,073)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(5,437)</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Realized gains on private investments</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8,371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8,371</w:t>
            </w:r>
          </w:p>
        </w:tc>
        <w:tc>
          <w:tcPr>
            <w:tcW w:w="0" w:type="dxa"/>
            <w:vAlign w:val="bottom"/>
          </w:tcPr>
          <w:p>
            <w:pPr>
              <w:spacing w:after="0"/>
              <w:rPr>
                <w:sz w:val="1"/>
                <w:szCs w:val="1"/>
                <w:color w:val="auto"/>
              </w:rPr>
            </w:pPr>
          </w:p>
        </w:tc>
      </w:tr>
      <w:tr>
        <w:trPr>
          <w:trHeight w:val="112"/>
        </w:trPr>
        <w:tc>
          <w:tcPr>
            <w:tcW w:w="2960" w:type="dxa"/>
            <w:vAlign w:val="bottom"/>
          </w:tcPr>
          <w:p>
            <w:pPr>
              <w:ind w:left="20"/>
              <w:spacing w:after="0" w:line="112" w:lineRule="exact"/>
              <w:rPr>
                <w:sz w:val="20"/>
                <w:szCs w:val="20"/>
                <w:color w:val="auto"/>
              </w:rPr>
            </w:pPr>
            <w:r>
              <w:rPr>
                <w:rFonts w:ascii="Arial" w:cs="Arial" w:eastAsia="Arial" w:hAnsi="Arial"/>
                <w:sz w:val="11"/>
                <w:szCs w:val="11"/>
                <w:color w:val="auto"/>
                <w:w w:val="95"/>
              </w:rPr>
              <w:t>Net change in unrealized appreciation (depreciation) on private</w:t>
            </w:r>
          </w:p>
        </w:tc>
        <w:tc>
          <w:tcPr>
            <w:tcW w:w="9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w w:val="97"/>
              </w:rPr>
              <w:t>(1,797)</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580" w:type="dxa"/>
            <w:vAlign w:val="bottom"/>
            <w:gridSpan w:val="2"/>
            <w:vMerge w:val="restart"/>
          </w:tcPr>
          <w:p>
            <w:pPr>
              <w:ind w:left="1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2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1"/>
                <w:szCs w:val="11"/>
                <w:color w:val="auto"/>
              </w:rPr>
              <w:t>(1,797)</w:t>
            </w:r>
          </w:p>
        </w:tc>
        <w:tc>
          <w:tcPr>
            <w:tcW w:w="0" w:type="dxa"/>
            <w:vAlign w:val="bottom"/>
          </w:tcPr>
          <w:p>
            <w:pPr>
              <w:spacing w:after="0"/>
              <w:rPr>
                <w:sz w:val="1"/>
                <w:szCs w:val="1"/>
                <w:color w:val="auto"/>
              </w:rPr>
            </w:pPr>
          </w:p>
        </w:tc>
      </w:tr>
      <w:tr>
        <w:trPr>
          <w:trHeight w:val="149"/>
        </w:trPr>
        <w:tc>
          <w:tcPr>
            <w:tcW w:w="2960" w:type="dxa"/>
            <w:vAlign w:val="bottom"/>
          </w:tcPr>
          <w:p>
            <w:pPr>
              <w:ind w:left="20"/>
              <w:spacing w:after="0"/>
              <w:rPr>
                <w:sz w:val="20"/>
                <w:szCs w:val="20"/>
                <w:color w:val="auto"/>
              </w:rPr>
            </w:pPr>
            <w:r>
              <w:rPr>
                <w:rFonts w:ascii="Arial" w:cs="Arial" w:eastAsia="Arial" w:hAnsi="Arial"/>
                <w:sz w:val="11"/>
                <w:szCs w:val="11"/>
                <w:color w:val="auto"/>
              </w:rPr>
              <w:t>investments</w:t>
            </w:r>
          </w:p>
        </w:tc>
        <w:tc>
          <w:tcPr>
            <w:tcW w:w="9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investment income</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868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879</w:t>
            </w:r>
          </w:p>
        </w:tc>
        <w:tc>
          <w:tcPr>
            <w:tcW w:w="0" w:type="dxa"/>
            <w:vAlign w:val="bottom"/>
          </w:tcPr>
          <w:p>
            <w:pPr>
              <w:spacing w:after="0"/>
              <w:rPr>
                <w:sz w:val="1"/>
                <w:szCs w:val="1"/>
                <w:color w:val="auto"/>
              </w:rPr>
            </w:pPr>
          </w:p>
        </w:tc>
      </w:tr>
      <w:tr>
        <w:trPr>
          <w:trHeight w:val="152"/>
        </w:trPr>
        <w:tc>
          <w:tcPr>
            <w:tcW w:w="2960" w:type="dxa"/>
            <w:vAlign w:val="bottom"/>
          </w:tcPr>
          <w:p>
            <w:pPr>
              <w:ind w:left="20"/>
              <w:spacing w:after="0"/>
              <w:rPr>
                <w:sz w:val="20"/>
                <w:szCs w:val="20"/>
                <w:color w:val="auto"/>
              </w:rPr>
            </w:pPr>
            <w:r>
              <w:rPr>
                <w:rFonts w:ascii="Arial" w:cs="Arial" w:eastAsia="Arial" w:hAnsi="Arial"/>
                <w:sz w:val="11"/>
                <w:szCs w:val="11"/>
                <w:color w:val="auto"/>
              </w:rPr>
              <w:t>Other income</w:t>
            </w:r>
          </w:p>
        </w:tc>
        <w:tc>
          <w:tcPr>
            <w:tcW w:w="92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602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30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ind w:left="1080"/>
              <w:spacing w:after="0"/>
              <w:rPr>
                <w:sz w:val="20"/>
                <w:szCs w:val="20"/>
                <w:color w:val="auto"/>
              </w:rPr>
            </w:pPr>
            <w:r>
              <w:rPr>
                <w:rFonts w:ascii="Arial" w:cs="Arial" w:eastAsia="Arial" w:hAnsi="Arial"/>
                <w:sz w:val="11"/>
                <w:szCs w:val="11"/>
                <w:color w:val="auto"/>
                <w:w w:val="93"/>
              </w:rPr>
              <w:t>(187)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445</w:t>
            </w:r>
          </w:p>
        </w:tc>
        <w:tc>
          <w:tcPr>
            <w:tcW w:w="0" w:type="dxa"/>
            <w:vAlign w:val="bottom"/>
          </w:tcPr>
          <w:p>
            <w:pPr>
              <w:spacing w:after="0"/>
              <w:rPr>
                <w:sz w:val="1"/>
                <w:szCs w:val="1"/>
                <w:color w:val="auto"/>
              </w:rPr>
            </w:pPr>
          </w:p>
        </w:tc>
      </w:tr>
      <w:tr>
        <w:trPr>
          <w:trHeight w:val="166"/>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Debt modification costs</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6(C)</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96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92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(2,912)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1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2,912</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6(C)</w:t>
            </w: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Restructuring fee</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6(C)</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960" w:type="dxa"/>
            <w:vAlign w:val="bottom"/>
          </w:tcPr>
          <w:p>
            <w:pPr>
              <w:ind w:left="20"/>
              <w:spacing w:after="0"/>
              <w:rPr>
                <w:sz w:val="20"/>
                <w:szCs w:val="20"/>
                <w:color w:val="auto"/>
              </w:rPr>
            </w:pPr>
            <w:r>
              <w:rPr>
                <w:rFonts w:ascii="Arial" w:cs="Arial" w:eastAsia="Arial" w:hAnsi="Arial"/>
                <w:sz w:val="11"/>
                <w:szCs w:val="11"/>
                <w:color w:val="auto"/>
              </w:rPr>
              <w:t>Impairment of investments in unconsolidated affiliates</w:t>
            </w:r>
          </w:p>
        </w:tc>
        <w:tc>
          <w:tcPr>
            <w:tcW w:w="92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(156)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1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(156)</w:t>
            </w:r>
          </w:p>
        </w:tc>
        <w:tc>
          <w:tcPr>
            <w:tcW w:w="0" w:type="dxa"/>
            <w:vAlign w:val="bottom"/>
          </w:tcPr>
          <w:p>
            <w:pPr>
              <w:spacing w:after="0"/>
              <w:rPr>
                <w:sz w:val="1"/>
                <w:szCs w:val="1"/>
                <w:color w:val="auto"/>
              </w:rPr>
            </w:pPr>
          </w:p>
        </w:tc>
      </w:tr>
      <w:tr>
        <w:trPr>
          <w:trHeight w:val="166"/>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in earnings of unconsolidated affiliates</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768</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768</w:t>
            </w:r>
          </w:p>
        </w:tc>
        <w:tc>
          <w:tcPr>
            <w:tcW w:w="0" w:type="dxa"/>
            <w:vAlign w:val="bottom"/>
          </w:tcPr>
          <w:p>
            <w:pPr>
              <w:spacing w:after="0"/>
              <w:rPr>
                <w:sz w:val="1"/>
                <w:szCs w:val="1"/>
                <w:color w:val="auto"/>
              </w:rPr>
            </w:pPr>
          </w:p>
        </w:tc>
      </w:tr>
      <w:tr>
        <w:trPr>
          <w:trHeight w:val="153"/>
        </w:trPr>
        <w:tc>
          <w:tcPr>
            <w:tcW w:w="2960" w:type="dxa"/>
            <w:vAlign w:val="bottom"/>
          </w:tcPr>
          <w:p>
            <w:pPr>
              <w:ind w:left="20"/>
              <w:spacing w:after="0"/>
              <w:rPr>
                <w:sz w:val="20"/>
                <w:szCs w:val="20"/>
                <w:color w:val="auto"/>
              </w:rPr>
            </w:pPr>
            <w:r>
              <w:rPr>
                <w:rFonts w:ascii="Arial" w:cs="Arial" w:eastAsia="Arial" w:hAnsi="Arial"/>
                <w:sz w:val="11"/>
                <w:szCs w:val="11"/>
                <w:color w:val="auto"/>
              </w:rPr>
              <w:t>SBA loan forgiven</w:t>
            </w:r>
          </w:p>
        </w:tc>
        <w:tc>
          <w:tcPr>
            <w:tcW w:w="92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1,711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1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(1,711)</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6(C)</w:t>
            </w: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Term loan and revolver including interest forgiveness</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18,436</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(17,715)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6(C)</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721</w:t>
            </w:r>
          </w:p>
        </w:tc>
        <w:tc>
          <w:tcPr>
            <w:tcW w:w="0" w:type="dxa"/>
            <w:vAlign w:val="bottom"/>
          </w:tcPr>
          <w:p>
            <w:pPr>
              <w:spacing w:after="0"/>
              <w:rPr>
                <w:sz w:val="1"/>
                <w:szCs w:val="1"/>
                <w:color w:val="auto"/>
              </w:rPr>
            </w:pPr>
          </w:p>
        </w:tc>
      </w:tr>
      <w:tr>
        <w:trPr>
          <w:trHeight w:val="152"/>
        </w:trPr>
        <w:tc>
          <w:tcPr>
            <w:tcW w:w="2960" w:type="dxa"/>
            <w:vAlign w:val="bottom"/>
          </w:tcPr>
          <w:p>
            <w:pPr>
              <w:ind w:left="20"/>
              <w:spacing w:after="0"/>
              <w:rPr>
                <w:sz w:val="20"/>
                <w:szCs w:val="20"/>
                <w:color w:val="auto"/>
              </w:rPr>
            </w:pPr>
            <w:r>
              <w:rPr>
                <w:rFonts w:ascii="Arial" w:cs="Arial" w:eastAsia="Arial" w:hAnsi="Arial"/>
                <w:sz w:val="11"/>
                <w:szCs w:val="11"/>
                <w:color w:val="auto"/>
              </w:rPr>
              <w:t>Realized loss on unconsolidated affiliates</w:t>
            </w:r>
          </w:p>
        </w:tc>
        <w:tc>
          <w:tcPr>
            <w:tcW w:w="92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(105)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1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66"/>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expense, net</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960" w:type="dxa"/>
            <w:vAlign w:val="bottom"/>
          </w:tcPr>
          <w:p>
            <w:pPr>
              <w:ind w:left="20"/>
              <w:spacing w:after="0"/>
              <w:rPr>
                <w:sz w:val="20"/>
                <w:szCs w:val="20"/>
                <w:color w:val="auto"/>
              </w:rPr>
            </w:pPr>
            <w:r>
              <w:rPr>
                <w:rFonts w:ascii="Arial" w:cs="Arial" w:eastAsia="Arial" w:hAnsi="Arial"/>
                <w:sz w:val="11"/>
                <w:szCs w:val="11"/>
                <w:color w:val="auto"/>
              </w:rPr>
              <w:t>Income (loss) before income taxes</w:t>
            </w: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w w:val="94"/>
              </w:rPr>
              <w:t>14,003</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14,463</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ind w:left="1080"/>
              <w:spacing w:after="0"/>
              <w:rPr>
                <w:sz w:val="20"/>
                <w:szCs w:val="20"/>
                <w:color w:val="auto"/>
              </w:rPr>
            </w:pPr>
            <w:r>
              <w:rPr>
                <w:rFonts w:ascii="Arial" w:cs="Arial" w:eastAsia="Arial" w:hAnsi="Arial"/>
                <w:sz w:val="11"/>
                <w:szCs w:val="11"/>
                <w:color w:val="auto"/>
                <w:w w:val="93"/>
              </w:rPr>
              <w:t>(187)</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(24,590)</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6(E)</w:t>
            </w: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3,689</w:t>
            </w:r>
          </w:p>
        </w:tc>
        <w:tc>
          <w:tcPr>
            <w:tcW w:w="0" w:type="dxa"/>
            <w:vAlign w:val="bottom"/>
          </w:tcPr>
          <w:p>
            <w:pPr>
              <w:spacing w:after="0"/>
              <w:rPr>
                <w:sz w:val="1"/>
                <w:szCs w:val="1"/>
                <w:color w:val="auto"/>
              </w:rPr>
            </w:pPr>
          </w:p>
        </w:tc>
      </w:tr>
      <w:tr>
        <w:trPr>
          <w:trHeight w:val="166"/>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 provision</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4,240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6(E)</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1,558</w:t>
            </w:r>
          </w:p>
        </w:tc>
        <w:tc>
          <w:tcPr>
            <w:tcW w:w="0" w:type="dxa"/>
            <w:vAlign w:val="bottom"/>
          </w:tcPr>
          <w:p>
            <w:pPr>
              <w:spacing w:after="0"/>
              <w:rPr>
                <w:sz w:val="1"/>
                <w:szCs w:val="1"/>
                <w:color w:val="auto"/>
              </w:rPr>
            </w:pPr>
          </w:p>
        </w:tc>
      </w:tr>
      <w:tr>
        <w:trPr>
          <w:trHeight w:val="152"/>
        </w:trPr>
        <w:tc>
          <w:tcPr>
            <w:tcW w:w="2960" w:type="dxa"/>
            <w:vAlign w:val="bottom"/>
          </w:tcPr>
          <w:p>
            <w:pPr>
              <w:ind w:left="20"/>
              <w:spacing w:after="0"/>
              <w:rPr>
                <w:sz w:val="20"/>
                <w:szCs w:val="20"/>
                <w:color w:val="auto"/>
              </w:rPr>
            </w:pPr>
            <w:r>
              <w:rPr>
                <w:rFonts w:ascii="Arial" w:cs="Arial" w:eastAsia="Arial" w:hAnsi="Arial"/>
                <w:sz w:val="11"/>
                <w:szCs w:val="11"/>
                <w:color w:val="auto"/>
              </w:rPr>
              <w:t>Income from discontinued operations</w:t>
            </w:r>
          </w:p>
        </w:tc>
        <w:tc>
          <w:tcPr>
            <w:tcW w:w="92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734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1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734</w:t>
            </w:r>
          </w:p>
        </w:tc>
        <w:tc>
          <w:tcPr>
            <w:tcW w:w="0" w:type="dxa"/>
            <w:vAlign w:val="bottom"/>
          </w:tcPr>
          <w:p>
            <w:pPr>
              <w:spacing w:after="0"/>
              <w:rPr>
                <w:sz w:val="1"/>
                <w:szCs w:val="1"/>
                <w:color w:val="auto"/>
              </w:rPr>
            </w:pPr>
          </w:p>
        </w:tc>
      </w:tr>
      <w:tr>
        <w:trPr>
          <w:trHeight w:val="159"/>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sale of business, net of transaction cost</w:t>
            </w:r>
          </w:p>
        </w:tc>
        <w:tc>
          <w:tcPr>
            <w:tcW w:w="9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2,660</w:t>
            </w:r>
          </w:p>
        </w:tc>
        <w:tc>
          <w:tcPr>
            <w:tcW w:w="2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80"/>
          </w:cols>
          <w:pgMar w:left="300" w:top="1173"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0"/>
        </w:trPr>
        <w:tc>
          <w:tcPr>
            <w:tcW w:w="296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9,763</w:t>
            </w:r>
          </w:p>
        </w:tc>
        <w:tc>
          <w:tcPr>
            <w:tcW w:w="2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17,857</w:t>
            </w:r>
          </w:p>
        </w:tc>
        <w:tc>
          <w:tcPr>
            <w:tcW w:w="24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1"/>
                <w:szCs w:val="11"/>
                <w:color w:val="auto"/>
                <w:w w:val="93"/>
              </w:rPr>
              <w:t>(187)</w:t>
            </w:r>
          </w:p>
        </w:tc>
        <w:tc>
          <w:tcPr>
            <w:tcW w:w="24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1"/>
                <w:szCs w:val="11"/>
                <w:color w:val="auto"/>
                <w:w w:val="92"/>
              </w:rPr>
              <w:t>(21,908)</w:t>
            </w:r>
          </w:p>
        </w:tc>
        <w:tc>
          <w:tcPr>
            <w:tcW w:w="56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5,525</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comprehensive income (loss)</w:t>
            </w:r>
          </w:p>
        </w:tc>
        <w:tc>
          <w:tcPr>
            <w:tcW w:w="44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9,763</w:t>
            </w:r>
          </w:p>
        </w:tc>
        <w:tc>
          <w:tcPr>
            <w:tcW w:w="2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17,857</w:t>
            </w:r>
          </w:p>
        </w:tc>
        <w:tc>
          <w:tcPr>
            <w:tcW w:w="2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48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1"/>
                <w:szCs w:val="11"/>
                <w:color w:val="auto"/>
                <w:w w:val="93"/>
              </w:rPr>
              <w:t>(187)</w:t>
            </w:r>
          </w:p>
        </w:tc>
        <w:tc>
          <w:tcPr>
            <w:tcW w:w="2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1"/>
                <w:szCs w:val="11"/>
                <w:color w:val="auto"/>
                <w:w w:val="92"/>
              </w:rPr>
              <w:t>(21,908)</w:t>
            </w:r>
          </w:p>
        </w:tc>
        <w:tc>
          <w:tcPr>
            <w:tcW w:w="5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5,525</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Earnings (loss) per share:</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96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Basic </w:t>
            </w:r>
            <w:r>
              <w:rPr>
                <w:rFonts w:ascii="Arial" w:cs="Arial" w:eastAsia="Arial" w:hAnsi="Arial"/>
                <w:sz w:val="11"/>
                <w:szCs w:val="11"/>
                <w:b w:val="1"/>
                <w:bCs w:val="1"/>
                <w:color w:val="auto"/>
              </w:rPr>
              <w:t>6(F)</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1.24</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0.70</w:t>
            </w:r>
          </w:p>
        </w:tc>
        <w:tc>
          <w:tcPr>
            <w:tcW w:w="0" w:type="dxa"/>
            <w:vAlign w:val="bottom"/>
          </w:tcPr>
          <w:p>
            <w:pPr>
              <w:spacing w:after="0"/>
              <w:rPr>
                <w:sz w:val="1"/>
                <w:szCs w:val="1"/>
                <w:color w:val="auto"/>
              </w:rPr>
            </w:pPr>
          </w:p>
        </w:tc>
      </w:tr>
      <w:tr>
        <w:trPr>
          <w:trHeight w:val="153"/>
        </w:trPr>
        <w:tc>
          <w:tcPr>
            <w:tcW w:w="2960" w:type="dxa"/>
            <w:vAlign w:val="bottom"/>
          </w:tcPr>
          <w:p>
            <w:pPr>
              <w:ind w:left="20"/>
              <w:spacing w:after="0"/>
              <w:rPr>
                <w:sz w:val="20"/>
                <w:szCs w:val="20"/>
                <w:color w:val="auto"/>
              </w:rPr>
            </w:pPr>
            <w:r>
              <w:rPr>
                <w:rFonts w:ascii="Arial" w:cs="Arial" w:eastAsia="Arial" w:hAnsi="Arial"/>
                <w:sz w:val="11"/>
                <w:szCs w:val="11"/>
                <w:color w:val="auto"/>
              </w:rPr>
              <w:t xml:space="preserve">Diluted </w:t>
            </w:r>
            <w:r>
              <w:rPr>
                <w:rFonts w:ascii="Arial" w:cs="Arial" w:eastAsia="Arial" w:hAnsi="Arial"/>
                <w:sz w:val="11"/>
                <w:szCs w:val="11"/>
                <w:b w:val="1"/>
                <w:bCs w:val="1"/>
                <w:color w:val="auto"/>
              </w:rPr>
              <w:t>6(F)</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1.23</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3"/>
                <w:szCs w:val="13"/>
                <w:color w:val="auto"/>
              </w:rPr>
            </w:pPr>
          </w:p>
        </w:tc>
        <w:tc>
          <w:tcPr>
            <w:tcW w:w="106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3"/>
                <w:szCs w:val="13"/>
                <w:color w:val="auto"/>
              </w:rPr>
            </w:pPr>
          </w:p>
        </w:tc>
        <w:tc>
          <w:tcPr>
            <w:tcW w:w="140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30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0.68</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Weighted average shares outstanding:</w:t>
            </w: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60" w:type="dxa"/>
            <w:vAlign w:val="bottom"/>
          </w:tcPr>
          <w:p>
            <w:pPr>
              <w:ind w:left="20"/>
              <w:spacing w:after="0"/>
              <w:rPr>
                <w:sz w:val="20"/>
                <w:szCs w:val="20"/>
                <w:color w:val="auto"/>
              </w:rPr>
            </w:pPr>
            <w:r>
              <w:rPr>
                <w:rFonts w:ascii="Arial" w:cs="Arial" w:eastAsia="Arial" w:hAnsi="Arial"/>
                <w:sz w:val="11"/>
                <w:szCs w:val="11"/>
                <w:color w:val="auto"/>
              </w:rPr>
              <w:t>Basic</w:t>
            </w:r>
          </w:p>
        </w:tc>
        <w:tc>
          <w:tcPr>
            <w:tcW w:w="44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7,875,395</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3"/>
                <w:szCs w:val="13"/>
                <w:color w:val="auto"/>
              </w:rPr>
            </w:pPr>
          </w:p>
        </w:tc>
        <w:tc>
          <w:tcPr>
            <w:tcW w:w="106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3"/>
                <w:szCs w:val="13"/>
                <w:color w:val="auto"/>
              </w:rPr>
            </w:pPr>
          </w:p>
        </w:tc>
        <w:tc>
          <w:tcPr>
            <w:tcW w:w="140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7,875,395</w:t>
            </w:r>
          </w:p>
        </w:tc>
        <w:tc>
          <w:tcPr>
            <w:tcW w:w="0" w:type="dxa"/>
            <w:vAlign w:val="bottom"/>
          </w:tcPr>
          <w:p>
            <w:pPr>
              <w:spacing w:after="0"/>
              <w:rPr>
                <w:sz w:val="1"/>
                <w:szCs w:val="1"/>
                <w:color w:val="auto"/>
              </w:rPr>
            </w:pPr>
          </w:p>
        </w:tc>
      </w:tr>
      <w:tr>
        <w:trPr>
          <w:trHeight w:val="166"/>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Diluted</w:t>
            </w: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7,927,972</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8,123,898</w:t>
            </w: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Basis of Presentation</w:t>
      </w:r>
    </w:p>
    <w:p>
      <w:pPr>
        <w:spacing w:after="0" w:line="98" w:lineRule="exact"/>
        <w:rPr>
          <w:sz w:val="20"/>
          <w:szCs w:val="20"/>
          <w:color w:val="auto"/>
        </w:rPr>
      </w:pPr>
    </w:p>
    <w:p>
      <w:pPr>
        <w:ind w:firstLine="382"/>
        <w:spacing w:after="0" w:line="282" w:lineRule="auto"/>
        <w:rPr>
          <w:sz w:val="20"/>
          <w:szCs w:val="20"/>
          <w:color w:val="auto"/>
        </w:rPr>
      </w:pPr>
      <w:r>
        <w:rPr>
          <w:rFonts w:ascii="Arial" w:cs="Arial" w:eastAsia="Arial" w:hAnsi="Arial"/>
          <w:sz w:val="13"/>
          <w:szCs w:val="13"/>
          <w:color w:val="auto"/>
        </w:rPr>
        <w:t>The pro forma condensed combined financial information has been prepared by Westwood in accordance with Article 11 of Regulation S-X. The pro forma condensed combined financial information reflects transaction accounting adjustments management believes are necessary to present fairly Westwood’s pro forma financial position and results of operations following the closing of the Acquisition and the Investment Liquidation as of and for the periods indicated. The transaction accounting adjustments depict the accounting for the Acquisition as required by U.S. GAAP. The adjustments related to the Investment Liquidation are shown in a separate column as Other Transaction Accounting Adjustments. The unaudited pro forma condensed combined financial information does not reflect any cost savings, operating synergies, or revenue enhancements that the combined company may achieve as a result of the Acquisition, nor does it reflect the costs to integrate the operations of Westwood and Salient Partners or the costs necessary to achieve any cost savings, operating synergies, and revenue enhancements.</w:t>
      </w:r>
    </w:p>
    <w:p>
      <w:pPr>
        <w:spacing w:after="0" w:line="49" w:lineRule="exact"/>
        <w:rPr>
          <w:sz w:val="20"/>
          <w:szCs w:val="20"/>
          <w:color w:val="auto"/>
        </w:rPr>
      </w:pPr>
    </w:p>
    <w:p>
      <w:pPr>
        <w:ind w:firstLine="382"/>
        <w:spacing w:after="0" w:line="284" w:lineRule="auto"/>
        <w:rPr>
          <w:sz w:val="20"/>
          <w:szCs w:val="20"/>
          <w:color w:val="auto"/>
        </w:rPr>
      </w:pPr>
      <w:r>
        <w:rPr>
          <w:rFonts w:ascii="Arial" w:cs="Arial" w:eastAsia="Arial" w:hAnsi="Arial"/>
          <w:sz w:val="13"/>
          <w:szCs w:val="13"/>
          <w:color w:val="auto"/>
        </w:rPr>
        <w:t>The unaudited pro forma condensed combined financial information was prepared using the acquisition method of accounting in accordance with ASC Topic 805, Business Combinations, with Westwood being considered the accounting acquirer, using the fair value concepts defined in ASC Topic 820, Fair Value Measurement, and based on the historical condensed consolidated financial statements of Westwood and the historical condensed consolidated financial statements of Salient Partners. Under ASC Topic 805, all assets acquired and liabilities assumed in a business combination are generally recognized and measured at their assumed acquisition date fair value, while transaction costs and restructuring costs associated with the business combination are expensed as incurred. The excess of acquisition consideration over the fair value of assets acquired and liabilities assumed is allocated to goodwill.</w:t>
      </w:r>
    </w:p>
    <w:p>
      <w:pPr>
        <w:spacing w:after="0" w:line="49" w:lineRule="exact"/>
        <w:rPr>
          <w:sz w:val="20"/>
          <w:szCs w:val="20"/>
          <w:color w:val="auto"/>
        </w:rPr>
      </w:pPr>
    </w:p>
    <w:p>
      <w:pPr>
        <w:ind w:firstLine="382"/>
        <w:spacing w:after="0" w:line="321" w:lineRule="auto"/>
        <w:rPr>
          <w:sz w:val="20"/>
          <w:szCs w:val="20"/>
          <w:color w:val="auto"/>
        </w:rPr>
      </w:pPr>
      <w:r>
        <w:rPr>
          <w:rFonts w:ascii="Arial" w:cs="Arial" w:eastAsia="Arial" w:hAnsi="Arial"/>
          <w:sz w:val="13"/>
          <w:szCs w:val="13"/>
          <w:color w:val="auto"/>
        </w:rPr>
        <w:t>The transaction accounting adjustments represent Westwood’s managements’ best estimates and are based upon currently available information and certain assumptions that Westwood believes are reasonable under the circumstances. The fair values are subject to adjustment for up to one year after the close of the Acquisition as additional information is obtained.</w:t>
      </w:r>
    </w:p>
    <w:p>
      <w:pPr>
        <w:spacing w:after="0" w:line="24" w:lineRule="exact"/>
        <w:rPr>
          <w:sz w:val="20"/>
          <w:szCs w:val="20"/>
          <w:color w:val="auto"/>
        </w:rPr>
      </w:pPr>
    </w:p>
    <w:p>
      <w:pPr>
        <w:ind w:right="180" w:firstLine="382"/>
        <w:spacing w:after="0" w:line="267" w:lineRule="auto"/>
        <w:rPr>
          <w:sz w:val="20"/>
          <w:szCs w:val="20"/>
          <w:color w:val="auto"/>
        </w:rPr>
      </w:pPr>
      <w:r>
        <w:rPr>
          <w:rFonts w:ascii="Arial" w:cs="Arial" w:eastAsia="Arial" w:hAnsi="Arial"/>
          <w:sz w:val="14"/>
          <w:szCs w:val="14"/>
          <w:color w:val="auto"/>
        </w:rPr>
        <w:t>No additional adjustments were deemed to be necessary in order to conform accounting policies of Westwood and Salient Partners. As additional information is obtained, Westwood will continue to evaluate Salient Partner’s accounting policies. As a result of the evaluation, Westwood may identify additional differences between the accounting policies of the two companies, which when conformed, could have a material impact on the unaudited pro forma condensed combined financial information.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Reclassification Adjustments</w:t>
      </w:r>
    </w:p>
    <w:p>
      <w:pPr>
        <w:spacing w:after="0" w:line="98" w:lineRule="exact"/>
        <w:rPr>
          <w:sz w:val="20"/>
          <w:szCs w:val="20"/>
          <w:color w:val="auto"/>
        </w:rPr>
      </w:pPr>
    </w:p>
    <w:p>
      <w:pPr>
        <w:ind w:right="120" w:firstLine="382"/>
        <w:spacing w:after="0" w:line="267" w:lineRule="auto"/>
        <w:rPr>
          <w:sz w:val="20"/>
          <w:szCs w:val="20"/>
          <w:color w:val="auto"/>
        </w:rPr>
      </w:pPr>
      <w:r>
        <w:rPr>
          <w:rFonts w:ascii="Arial" w:cs="Arial" w:eastAsia="Arial" w:hAnsi="Arial"/>
          <w:sz w:val="14"/>
          <w:szCs w:val="14"/>
          <w:color w:val="auto"/>
        </w:rPr>
        <w:t>The reclassification adjustments are considered by management to be reasonable, and reflective of adjustments necessary to report Westwood’s financial condition and results of operations as if the Acquisition were completed. Certain reclassification adjustments have been made to the opening balances of the condensed combined financial information to conform Salient Partner’s historical condensed consolidated balance sheet and income statements to Westwood’s financial statement presentation.</w:t>
      </w:r>
    </w:p>
    <w:p>
      <w:pPr>
        <w:spacing w:after="0" w:line="57"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The combined company will finalize the review of accounting policies and reclassifications as additional information is obtained, which could be materially different from the amounts set forth in the unaudited pro forma condensed combined financial information presented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80"/>
          </w:cols>
          <w:pgMar w:left="300" w:top="1159" w:right="319" w:bottom="1440" w:gutter="0" w:footer="0" w:header="0"/>
        </w:sectPr>
      </w:pPr>
    </w:p>
    <w:bookmarkStart w:id="64" w:name="page65"/>
    <w:bookmarkEnd w:id="64"/>
    <w:p>
      <w:pPr>
        <w:jc w:val="center"/>
        <w:spacing w:after="0"/>
        <w:rPr>
          <w:sz w:val="20"/>
          <w:szCs w:val="20"/>
          <w:color w:val="auto"/>
        </w:rPr>
      </w:pPr>
      <w:r>
        <w:rPr>
          <w:rFonts w:ascii="Arial" w:cs="Arial" w:eastAsia="Arial" w:hAnsi="Arial"/>
          <w:sz w:val="14"/>
          <w:szCs w:val="14"/>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SALIENT PARTNERS’ HISTORICAL AS ADJUSTED BALANCE SHEET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As of September 30, 2022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00" w:type="dxa"/>
            <w:vAlign w:val="bottom"/>
          </w:tcPr>
          <w:p>
            <w:pPr>
              <w:spacing w:after="0"/>
              <w:rPr>
                <w:sz w:val="14"/>
                <w:szCs w:val="14"/>
                <w:color w:val="auto"/>
              </w:rPr>
            </w:pPr>
          </w:p>
        </w:tc>
        <w:tc>
          <w:tcPr>
            <w:tcW w:w="346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3"/>
                <w:szCs w:val="13"/>
                <w:b w:val="1"/>
                <w:bCs w:val="1"/>
                <w:color w:val="auto"/>
              </w:rPr>
              <w:t>As of September 30, 2022</w:t>
            </w:r>
          </w:p>
        </w:tc>
        <w:tc>
          <w:tcPr>
            <w:tcW w:w="3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300" w:type="dxa"/>
            <w:vAlign w:val="bottom"/>
          </w:tcPr>
          <w:p>
            <w:pPr>
              <w:spacing w:after="0"/>
              <w:rPr>
                <w:sz w:val="10"/>
                <w:szCs w:val="10"/>
                <w:color w:val="auto"/>
              </w:rPr>
            </w:pPr>
          </w:p>
        </w:tc>
        <w:tc>
          <w:tcPr>
            <w:tcW w:w="2040" w:type="dxa"/>
            <w:vAlign w:val="bottom"/>
            <w:gridSpan w:val="3"/>
          </w:tcPr>
          <w:p>
            <w:pPr>
              <w:ind w:left="420"/>
              <w:spacing w:after="0" w:line="120" w:lineRule="exact"/>
              <w:rPr>
                <w:sz w:val="20"/>
                <w:szCs w:val="20"/>
                <w:color w:val="auto"/>
              </w:rPr>
            </w:pPr>
            <w:r>
              <w:rPr>
                <w:rFonts w:ascii="Arial" w:cs="Arial" w:eastAsia="Arial" w:hAnsi="Arial"/>
                <w:sz w:val="13"/>
                <w:szCs w:val="13"/>
                <w:b w:val="1"/>
                <w:bCs w:val="1"/>
                <w:color w:val="auto"/>
              </w:rPr>
              <w:t>Historical (Before</w:t>
            </w:r>
          </w:p>
        </w:tc>
        <w:tc>
          <w:tcPr>
            <w:tcW w:w="1420" w:type="dxa"/>
            <w:vAlign w:val="bottom"/>
            <w:vMerge w:val="restart"/>
          </w:tcPr>
          <w:p>
            <w:pPr>
              <w:jc w:val="right"/>
              <w:ind w:right="39"/>
              <w:spacing w:after="0"/>
              <w:rPr>
                <w:sz w:val="20"/>
                <w:szCs w:val="20"/>
                <w:color w:val="auto"/>
              </w:rPr>
            </w:pPr>
            <w:r>
              <w:rPr>
                <w:rFonts w:ascii="Arial" w:cs="Arial" w:eastAsia="Arial" w:hAnsi="Arial"/>
                <w:sz w:val="13"/>
                <w:szCs w:val="13"/>
                <w:b w:val="1"/>
                <w:bCs w:val="1"/>
                <w:color w:val="auto"/>
              </w:rPr>
              <w:t>Reclassification</w:t>
            </w: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vMerge w:val="restart"/>
          </w:tcPr>
          <w:p>
            <w:pPr>
              <w:jc w:val="right"/>
              <w:ind w:right="520"/>
              <w:spacing w:after="0"/>
              <w:rPr>
                <w:sz w:val="20"/>
                <w:szCs w:val="20"/>
                <w:color w:val="auto"/>
              </w:rPr>
            </w:pPr>
            <w:r>
              <w:rPr>
                <w:rFonts w:ascii="Arial" w:cs="Arial" w:eastAsia="Arial" w:hAnsi="Arial"/>
                <w:sz w:val="13"/>
                <w:szCs w:val="13"/>
                <w:b w:val="1"/>
                <w:bCs w:val="1"/>
                <w:color w:val="auto"/>
              </w:rPr>
              <w:t>Reclassified</w:t>
            </w:r>
          </w:p>
        </w:tc>
        <w:tc>
          <w:tcPr>
            <w:tcW w:w="0" w:type="dxa"/>
            <w:vAlign w:val="bottom"/>
          </w:tcPr>
          <w:p>
            <w:pPr>
              <w:spacing w:after="0"/>
              <w:rPr>
                <w:sz w:val="1"/>
                <w:szCs w:val="1"/>
                <w:color w:val="auto"/>
              </w:rPr>
            </w:pPr>
          </w:p>
        </w:tc>
      </w:tr>
      <w:tr>
        <w:trPr>
          <w:trHeight w:val="165"/>
        </w:trPr>
        <w:tc>
          <w:tcPr>
            <w:tcW w:w="53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Reclassifications)</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300" w:type="dxa"/>
            <w:vAlign w:val="bottom"/>
          </w:tcPr>
          <w:p>
            <w:pPr>
              <w:ind w:left="20"/>
              <w:spacing w:after="0"/>
              <w:rPr>
                <w:sz w:val="20"/>
                <w:szCs w:val="20"/>
                <w:color w:val="auto"/>
              </w:rPr>
            </w:pPr>
            <w:r>
              <w:rPr>
                <w:rFonts w:ascii="Arial" w:cs="Arial" w:eastAsia="Arial" w:hAnsi="Arial"/>
                <w:sz w:val="12"/>
                <w:szCs w:val="12"/>
                <w:b w:val="1"/>
                <w:bCs w:val="1"/>
                <w:color w:val="auto"/>
              </w:rPr>
              <w:t>ASSETS</w:t>
            </w:r>
          </w:p>
        </w:tc>
        <w:tc>
          <w:tcPr>
            <w:tcW w:w="1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assets</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00" w:type="dxa"/>
            <w:vAlign w:val="bottom"/>
          </w:tcPr>
          <w:p>
            <w:pPr>
              <w:ind w:left="100"/>
              <w:spacing w:after="0"/>
              <w:rPr>
                <w:sz w:val="20"/>
                <w:szCs w:val="20"/>
                <w:color w:val="auto"/>
              </w:rPr>
            </w:pPr>
            <w:r>
              <w:rPr>
                <w:rFonts w:ascii="Arial" w:cs="Arial" w:eastAsia="Arial" w:hAnsi="Arial"/>
                <w:sz w:val="12"/>
                <w:szCs w:val="12"/>
                <w:color w:val="auto"/>
              </w:rPr>
              <w:t>Cash and cash equivalents</w:t>
            </w:r>
          </w:p>
        </w:tc>
        <w:tc>
          <w:tcPr>
            <w:tcW w:w="1380" w:type="dxa"/>
            <w:vAlign w:val="bottom"/>
          </w:tcPr>
          <w:p>
            <w:pPr>
              <w:jc w:val="right"/>
              <w:ind w:right="1238"/>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5,982</w:t>
            </w:r>
          </w:p>
        </w:tc>
        <w:tc>
          <w:tcPr>
            <w:tcW w:w="240" w:type="dxa"/>
            <w:vAlign w:val="bottom"/>
          </w:tcPr>
          <w:p>
            <w:pPr>
              <w:spacing w:after="0"/>
              <w:rPr>
                <w:sz w:val="13"/>
                <w:szCs w:val="13"/>
                <w:color w:val="auto"/>
              </w:rPr>
            </w:pPr>
          </w:p>
        </w:tc>
        <w:tc>
          <w:tcPr>
            <w:tcW w:w="1420" w:type="dxa"/>
            <w:vAlign w:val="bottom"/>
          </w:tcPr>
          <w:p>
            <w:pPr>
              <w:jc w:val="right"/>
              <w:ind w:right="1279"/>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5,982</w:t>
            </w: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receivable</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3,294</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3,294</w:t>
            </w:r>
          </w:p>
        </w:tc>
        <w:tc>
          <w:tcPr>
            <w:tcW w:w="0" w:type="dxa"/>
            <w:vAlign w:val="bottom"/>
          </w:tcPr>
          <w:p>
            <w:pPr>
              <w:spacing w:after="0"/>
              <w:rPr>
                <w:sz w:val="1"/>
                <w:szCs w:val="1"/>
                <w:color w:val="auto"/>
              </w:rPr>
            </w:pPr>
          </w:p>
        </w:tc>
      </w:tr>
      <w:tr>
        <w:trPr>
          <w:trHeight w:val="156"/>
        </w:trPr>
        <w:tc>
          <w:tcPr>
            <w:tcW w:w="53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 current assets</w:t>
            </w:r>
          </w:p>
        </w:tc>
        <w:tc>
          <w:tcPr>
            <w:tcW w:w="13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1,034</w:t>
            </w:r>
          </w:p>
        </w:tc>
        <w:tc>
          <w:tcPr>
            <w:tcW w:w="2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1,034</w:t>
            </w:r>
          </w:p>
        </w:tc>
        <w:tc>
          <w:tcPr>
            <w:tcW w:w="0" w:type="dxa"/>
            <w:vAlign w:val="bottom"/>
          </w:tcPr>
          <w:p>
            <w:pPr>
              <w:spacing w:after="0"/>
              <w:rPr>
                <w:sz w:val="1"/>
                <w:szCs w:val="1"/>
                <w:color w:val="auto"/>
              </w:rPr>
            </w:pPr>
          </w:p>
        </w:tc>
      </w:tr>
      <w:tr>
        <w:trPr>
          <w:trHeight w:val="153"/>
        </w:trPr>
        <w:tc>
          <w:tcPr>
            <w:tcW w:w="5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Current assets</w:t>
            </w:r>
          </w:p>
        </w:tc>
        <w:tc>
          <w:tcPr>
            <w:tcW w:w="13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10,310</w:t>
            </w: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10,310</w:t>
            </w:r>
          </w:p>
        </w:tc>
        <w:tc>
          <w:tcPr>
            <w:tcW w:w="0" w:type="dxa"/>
            <w:vAlign w:val="bottom"/>
          </w:tcPr>
          <w:p>
            <w:pPr>
              <w:spacing w:after="0"/>
              <w:rPr>
                <w:sz w:val="1"/>
                <w:szCs w:val="1"/>
                <w:color w:val="auto"/>
              </w:rPr>
            </w:pPr>
          </w:p>
        </w:tc>
      </w:tr>
      <w:tr>
        <w:trPr>
          <w:trHeight w:val="158"/>
        </w:trPr>
        <w:tc>
          <w:tcPr>
            <w:tcW w:w="5300" w:type="dxa"/>
            <w:vAlign w:val="bottom"/>
          </w:tcPr>
          <w:p>
            <w:pPr>
              <w:ind w:left="100"/>
              <w:spacing w:after="0"/>
              <w:rPr>
                <w:sz w:val="20"/>
                <w:szCs w:val="20"/>
                <w:color w:val="auto"/>
              </w:rPr>
            </w:pPr>
            <w:r>
              <w:rPr>
                <w:rFonts w:ascii="Arial" w:cs="Arial" w:eastAsia="Arial" w:hAnsi="Arial"/>
                <w:sz w:val="12"/>
                <w:szCs w:val="12"/>
                <w:color w:val="auto"/>
              </w:rPr>
              <w:t>Investments</w:t>
            </w:r>
          </w:p>
        </w:tc>
        <w:tc>
          <w:tcPr>
            <w:tcW w:w="13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4,978</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(319)</w:t>
            </w:r>
          </w:p>
        </w:tc>
        <w:tc>
          <w:tcPr>
            <w:tcW w:w="6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(i)</w:t>
            </w:r>
          </w:p>
        </w:tc>
        <w:tc>
          <w:tcPr>
            <w:tcW w:w="1480" w:type="dxa"/>
            <w:vAlign w:val="bottom"/>
          </w:tcPr>
          <w:p>
            <w:pPr>
              <w:jc w:val="right"/>
              <w:spacing w:after="0"/>
              <w:rPr>
                <w:sz w:val="20"/>
                <w:szCs w:val="20"/>
                <w:color w:val="auto"/>
              </w:rPr>
            </w:pPr>
            <w:r>
              <w:rPr>
                <w:rFonts w:ascii="Arial" w:cs="Arial" w:eastAsia="Arial" w:hAnsi="Arial"/>
                <w:sz w:val="12"/>
                <w:szCs w:val="12"/>
                <w:color w:val="auto"/>
              </w:rPr>
              <w:t>4,659</w:t>
            </w:r>
          </w:p>
        </w:tc>
        <w:tc>
          <w:tcPr>
            <w:tcW w:w="0" w:type="dxa"/>
            <w:vAlign w:val="bottom"/>
          </w:tcPr>
          <w:p>
            <w:pPr>
              <w:spacing w:after="0"/>
              <w:rPr>
                <w:sz w:val="1"/>
                <w:szCs w:val="1"/>
                <w:color w:val="auto"/>
              </w:rPr>
            </w:pPr>
          </w:p>
        </w:tc>
      </w:tr>
      <w:tr>
        <w:trPr>
          <w:trHeight w:val="160"/>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Noncurrent investments at fair value</w:t>
            </w:r>
          </w:p>
        </w:tc>
        <w:tc>
          <w:tcPr>
            <w:tcW w:w="13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b w:val="1"/>
                <w:bCs w:val="1"/>
                <w:color w:val="auto"/>
              </w:rPr>
              <w:t>(i)</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w:t>
            </w:r>
          </w:p>
        </w:tc>
        <w:tc>
          <w:tcPr>
            <w:tcW w:w="0" w:type="dxa"/>
            <w:vAlign w:val="bottom"/>
          </w:tcPr>
          <w:p>
            <w:pPr>
              <w:spacing w:after="0"/>
              <w:rPr>
                <w:sz w:val="1"/>
                <w:szCs w:val="1"/>
                <w:color w:val="auto"/>
              </w:rPr>
            </w:pPr>
          </w:p>
        </w:tc>
      </w:tr>
      <w:tr>
        <w:trPr>
          <w:trHeight w:val="156"/>
        </w:trPr>
        <w:tc>
          <w:tcPr>
            <w:tcW w:w="5300" w:type="dxa"/>
            <w:vAlign w:val="bottom"/>
          </w:tcPr>
          <w:p>
            <w:pPr>
              <w:ind w:left="100"/>
              <w:spacing w:after="0"/>
              <w:rPr>
                <w:sz w:val="20"/>
                <w:szCs w:val="20"/>
                <w:color w:val="auto"/>
              </w:rPr>
            </w:pPr>
            <w:r>
              <w:rPr>
                <w:rFonts w:ascii="Arial" w:cs="Arial" w:eastAsia="Arial" w:hAnsi="Arial"/>
                <w:sz w:val="12"/>
                <w:szCs w:val="12"/>
                <w:color w:val="auto"/>
              </w:rPr>
              <w:t>Goodwill</w:t>
            </w:r>
          </w:p>
        </w:tc>
        <w:tc>
          <w:tcPr>
            <w:tcW w:w="13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7"/>
              </w:rPr>
              <w:t>25,922</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25,922</w:t>
            </w: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Intangible assets, net</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2,046</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2,046</w:t>
            </w:r>
          </w:p>
        </w:tc>
        <w:tc>
          <w:tcPr>
            <w:tcW w:w="0" w:type="dxa"/>
            <w:vAlign w:val="bottom"/>
          </w:tcPr>
          <w:p>
            <w:pPr>
              <w:spacing w:after="0"/>
              <w:rPr>
                <w:sz w:val="1"/>
                <w:szCs w:val="1"/>
                <w:color w:val="auto"/>
              </w:rPr>
            </w:pPr>
          </w:p>
        </w:tc>
      </w:tr>
      <w:tr>
        <w:trPr>
          <w:trHeight w:val="156"/>
        </w:trPr>
        <w:tc>
          <w:tcPr>
            <w:tcW w:w="53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Property and equipment, net of accumulated depreciation</w:t>
            </w:r>
          </w:p>
        </w:tc>
        <w:tc>
          <w:tcPr>
            <w:tcW w:w="13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w:t>
            </w:r>
          </w:p>
        </w:tc>
        <w:tc>
          <w:tcPr>
            <w:tcW w:w="2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50"/>
        </w:trPr>
        <w:tc>
          <w:tcPr>
            <w:tcW w:w="5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Non-current assets</w:t>
            </w:r>
          </w:p>
        </w:tc>
        <w:tc>
          <w:tcPr>
            <w:tcW w:w="13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33,034</w:t>
            </w:r>
          </w:p>
        </w:tc>
        <w:tc>
          <w:tcPr>
            <w:tcW w:w="2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33,034</w:t>
            </w:r>
          </w:p>
        </w:tc>
        <w:tc>
          <w:tcPr>
            <w:tcW w:w="0" w:type="dxa"/>
            <w:vAlign w:val="bottom"/>
          </w:tcPr>
          <w:p>
            <w:pPr>
              <w:spacing w:after="0"/>
              <w:rPr>
                <w:sz w:val="1"/>
                <w:szCs w:val="1"/>
                <w:color w:val="auto"/>
              </w:rPr>
            </w:pPr>
          </w:p>
        </w:tc>
      </w:tr>
      <w:tr>
        <w:trPr>
          <w:trHeight w:val="153"/>
        </w:trPr>
        <w:tc>
          <w:tcPr>
            <w:tcW w:w="5300" w:type="dxa"/>
            <w:vAlign w:val="bottom"/>
          </w:tcPr>
          <w:p>
            <w:pPr>
              <w:ind w:left="20"/>
              <w:spacing w:after="0"/>
              <w:rPr>
                <w:sz w:val="20"/>
                <w:szCs w:val="20"/>
                <w:color w:val="auto"/>
              </w:rPr>
            </w:pPr>
            <w:r>
              <w:rPr>
                <w:rFonts w:ascii="Arial" w:cs="Arial" w:eastAsia="Arial" w:hAnsi="Arial"/>
                <w:sz w:val="12"/>
                <w:szCs w:val="12"/>
                <w:b w:val="1"/>
                <w:bCs w:val="1"/>
                <w:color w:val="auto"/>
              </w:rPr>
              <w:t>Total Assets</w:t>
            </w:r>
          </w:p>
        </w:tc>
        <w:tc>
          <w:tcPr>
            <w:tcW w:w="13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43,344</w:t>
            </w:r>
          </w:p>
        </w:tc>
        <w:tc>
          <w:tcPr>
            <w:tcW w:w="24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43,344</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 AND PARTNERS’ DEFICIT</w:t>
            </w:r>
          </w:p>
        </w:tc>
        <w:tc>
          <w:tcPr>
            <w:tcW w:w="1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530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1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payable and accrued liabilities</w:t>
            </w:r>
          </w:p>
        </w:tc>
        <w:tc>
          <w:tcPr>
            <w:tcW w:w="1380" w:type="dxa"/>
            <w:vAlign w:val="bottom"/>
            <w:shd w:val="clear" w:color="auto" w:fill="CCEEFF"/>
          </w:tcPr>
          <w:p>
            <w:pPr>
              <w:jc w:val="right"/>
              <w:ind w:right="1238"/>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13,238</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279"/>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 xml:space="preserve">(ii) </w:t>
            </w:r>
            <w:r>
              <w:rPr>
                <w:rFonts w:ascii="Arial" w:cs="Arial" w:eastAsia="Arial" w:hAnsi="Arial"/>
                <w:sz w:val="12"/>
                <w:szCs w:val="12"/>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13,415</w:t>
            </w:r>
          </w:p>
        </w:tc>
        <w:tc>
          <w:tcPr>
            <w:tcW w:w="0" w:type="dxa"/>
            <w:vAlign w:val="bottom"/>
          </w:tcPr>
          <w:p>
            <w:pPr>
              <w:spacing w:after="0"/>
              <w:rPr>
                <w:sz w:val="1"/>
                <w:szCs w:val="1"/>
                <w:color w:val="auto"/>
              </w:rPr>
            </w:pPr>
          </w:p>
        </w:tc>
      </w:tr>
      <w:tr>
        <w:trPr>
          <w:trHeight w:val="156"/>
        </w:trPr>
        <w:tc>
          <w:tcPr>
            <w:tcW w:w="5300" w:type="dxa"/>
            <w:vAlign w:val="bottom"/>
          </w:tcPr>
          <w:p>
            <w:pPr>
              <w:ind w:left="100"/>
              <w:spacing w:after="0"/>
              <w:rPr>
                <w:sz w:val="20"/>
                <w:szCs w:val="20"/>
                <w:color w:val="auto"/>
              </w:rPr>
            </w:pPr>
            <w:r>
              <w:rPr>
                <w:rFonts w:ascii="Arial" w:cs="Arial" w:eastAsia="Arial" w:hAnsi="Arial"/>
                <w:sz w:val="12"/>
                <w:szCs w:val="12"/>
                <w:color w:val="auto"/>
              </w:rPr>
              <w:t>Subordinated debt</w:t>
            </w:r>
          </w:p>
        </w:tc>
        <w:tc>
          <w:tcPr>
            <w:tcW w:w="13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7"/>
              </w:rPr>
              <w:t>41,414</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41,414</w:t>
            </w: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Senior debt</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16,891</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16,891</w:t>
            </w:r>
          </w:p>
        </w:tc>
        <w:tc>
          <w:tcPr>
            <w:tcW w:w="0" w:type="dxa"/>
            <w:vAlign w:val="bottom"/>
          </w:tcPr>
          <w:p>
            <w:pPr>
              <w:spacing w:after="0"/>
              <w:rPr>
                <w:sz w:val="1"/>
                <w:szCs w:val="1"/>
                <w:color w:val="auto"/>
              </w:rPr>
            </w:pPr>
          </w:p>
        </w:tc>
      </w:tr>
      <w:tr>
        <w:trPr>
          <w:trHeight w:val="156"/>
        </w:trPr>
        <w:tc>
          <w:tcPr>
            <w:tcW w:w="5300" w:type="dxa"/>
            <w:vAlign w:val="bottom"/>
          </w:tcPr>
          <w:p>
            <w:pPr>
              <w:ind w:left="100"/>
              <w:spacing w:after="0"/>
              <w:rPr>
                <w:sz w:val="20"/>
                <w:szCs w:val="20"/>
                <w:color w:val="auto"/>
              </w:rPr>
            </w:pPr>
            <w:r>
              <w:rPr>
                <w:rFonts w:ascii="Arial" w:cs="Arial" w:eastAsia="Arial" w:hAnsi="Arial"/>
                <w:sz w:val="12"/>
                <w:szCs w:val="12"/>
                <w:color w:val="auto"/>
              </w:rPr>
              <w:t>Note payable</w:t>
            </w:r>
          </w:p>
        </w:tc>
        <w:tc>
          <w:tcPr>
            <w:tcW w:w="13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4,004</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4,004</w:t>
            </w: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Restructuring fee payable</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w:t>
            </w:r>
          </w:p>
        </w:tc>
        <w:tc>
          <w:tcPr>
            <w:tcW w:w="0" w:type="dxa"/>
            <w:vAlign w:val="bottom"/>
          </w:tcPr>
          <w:p>
            <w:pPr>
              <w:spacing w:after="0"/>
              <w:rPr>
                <w:sz w:val="1"/>
                <w:szCs w:val="1"/>
                <w:color w:val="auto"/>
              </w:rPr>
            </w:pPr>
          </w:p>
        </w:tc>
      </w:tr>
      <w:tr>
        <w:trPr>
          <w:trHeight w:val="156"/>
        </w:trPr>
        <w:tc>
          <w:tcPr>
            <w:tcW w:w="5300" w:type="dxa"/>
            <w:vAlign w:val="bottom"/>
          </w:tcPr>
          <w:p>
            <w:pPr>
              <w:ind w:left="100"/>
              <w:spacing w:after="0"/>
              <w:rPr>
                <w:sz w:val="20"/>
                <w:szCs w:val="20"/>
                <w:color w:val="auto"/>
              </w:rPr>
            </w:pPr>
            <w:r>
              <w:rPr>
                <w:rFonts w:ascii="Arial" w:cs="Arial" w:eastAsia="Arial" w:hAnsi="Arial"/>
                <w:sz w:val="12"/>
                <w:szCs w:val="12"/>
                <w:color w:val="auto"/>
              </w:rPr>
              <w:t>SBA loan</w:t>
            </w:r>
          </w:p>
        </w:tc>
        <w:tc>
          <w:tcPr>
            <w:tcW w:w="13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1,860</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1,860</w:t>
            </w: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State margin taxes payable</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b w:val="1"/>
                <w:bCs w:val="1"/>
                <w:color w:val="auto"/>
              </w:rPr>
              <w:t>(ii)</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5300" w:type="dxa"/>
            <w:vAlign w:val="bottom"/>
          </w:tcPr>
          <w:p>
            <w:pPr>
              <w:ind w:left="100"/>
              <w:spacing w:after="0"/>
              <w:rPr>
                <w:sz w:val="20"/>
                <w:szCs w:val="20"/>
                <w:color w:val="auto"/>
              </w:rPr>
            </w:pPr>
            <w:r>
              <w:rPr>
                <w:rFonts w:ascii="Arial" w:cs="Arial" w:eastAsia="Arial" w:hAnsi="Arial"/>
                <w:sz w:val="12"/>
                <w:szCs w:val="12"/>
                <w:color w:val="auto"/>
              </w:rPr>
              <w:t>Other current liabilities</w:t>
            </w:r>
          </w:p>
        </w:tc>
        <w:tc>
          <w:tcPr>
            <w:tcW w:w="13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95</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(95)</w:t>
            </w:r>
          </w:p>
        </w:tc>
        <w:tc>
          <w:tcPr>
            <w:tcW w:w="6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(ii)</w:t>
            </w: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53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Current liabilities</w:t>
            </w:r>
          </w:p>
        </w:tc>
        <w:tc>
          <w:tcPr>
            <w:tcW w:w="138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80,084</w:t>
            </w:r>
          </w:p>
        </w:tc>
        <w:tc>
          <w:tcPr>
            <w:tcW w:w="2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80,084</w:t>
            </w:r>
          </w:p>
        </w:tc>
        <w:tc>
          <w:tcPr>
            <w:tcW w:w="0" w:type="dxa"/>
            <w:vAlign w:val="bottom"/>
          </w:tcPr>
          <w:p>
            <w:pPr>
              <w:spacing w:after="0"/>
              <w:rPr>
                <w:sz w:val="1"/>
                <w:szCs w:val="1"/>
                <w:color w:val="auto"/>
              </w:rPr>
            </w:pPr>
          </w:p>
        </w:tc>
      </w:tr>
      <w:tr>
        <w:trPr>
          <w:trHeight w:val="153"/>
        </w:trPr>
        <w:tc>
          <w:tcPr>
            <w:tcW w:w="5300" w:type="dxa"/>
            <w:vAlign w:val="bottom"/>
          </w:tcPr>
          <w:p>
            <w:pPr>
              <w:ind w:left="20"/>
              <w:spacing w:after="0"/>
              <w:rPr>
                <w:sz w:val="20"/>
                <w:szCs w:val="20"/>
                <w:color w:val="auto"/>
              </w:rPr>
            </w:pPr>
            <w:r>
              <w:rPr>
                <w:rFonts w:ascii="Arial" w:cs="Arial" w:eastAsia="Arial" w:hAnsi="Arial"/>
                <w:sz w:val="12"/>
                <w:szCs w:val="12"/>
                <w:b w:val="1"/>
                <w:bCs w:val="1"/>
                <w:color w:val="auto"/>
              </w:rPr>
              <w:t>Total Liabilities</w:t>
            </w:r>
          </w:p>
        </w:tc>
        <w:tc>
          <w:tcPr>
            <w:tcW w:w="13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80,084</w:t>
            </w:r>
          </w:p>
        </w:tc>
        <w:tc>
          <w:tcPr>
            <w:tcW w:w="24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80,084</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30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b w:val="1"/>
                <w:bCs w:val="1"/>
                <w:color w:val="auto"/>
              </w:rPr>
              <w:t>PARTNERS’ DEFICIT</w:t>
            </w:r>
          </w:p>
        </w:tc>
        <w:tc>
          <w:tcPr>
            <w:tcW w:w="13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53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Total partners’ deficit</w:t>
            </w:r>
          </w:p>
        </w:tc>
        <w:tc>
          <w:tcPr>
            <w:tcW w:w="13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4"/>
              </w:rPr>
              <w:t>(36,740)</w:t>
            </w:r>
          </w:p>
        </w:tc>
        <w:tc>
          <w:tcPr>
            <w:tcW w:w="2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(36,740)</w:t>
            </w:r>
          </w:p>
        </w:tc>
        <w:tc>
          <w:tcPr>
            <w:tcW w:w="0" w:type="dxa"/>
            <w:vAlign w:val="bottom"/>
          </w:tcPr>
          <w:p>
            <w:pPr>
              <w:spacing w:after="0"/>
              <w:rPr>
                <w:sz w:val="1"/>
                <w:szCs w:val="1"/>
                <w:color w:val="auto"/>
              </w:rPr>
            </w:pPr>
          </w:p>
        </w:tc>
      </w:tr>
      <w:tr>
        <w:trPr>
          <w:trHeight w:val="17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 and Equity</w:t>
            </w:r>
          </w:p>
        </w:tc>
        <w:tc>
          <w:tcPr>
            <w:tcW w:w="1380" w:type="dxa"/>
            <w:vAlign w:val="bottom"/>
            <w:tcBorders>
              <w:bottom w:val="single" w:sz="8" w:color="auto"/>
            </w:tcBorders>
            <w:shd w:val="clear" w:color="auto" w:fill="CCEEFF"/>
          </w:tcPr>
          <w:p>
            <w:pPr>
              <w:jc w:val="right"/>
              <w:ind w:right="1238"/>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43,344</w:t>
            </w:r>
          </w:p>
        </w:tc>
        <w:tc>
          <w:tcPr>
            <w:tcW w:w="2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1279"/>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43,344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i. Represents the reclassification of readily marketable investments to align with historical reporting of Westwood. Westwood classifies these amounts within Noncurrent investments at fair value.</w:t>
      </w:r>
    </w:p>
    <w:p>
      <w:pPr>
        <w:spacing w:after="0" w:line="105" w:lineRule="exact"/>
        <w:rPr>
          <w:sz w:val="20"/>
          <w:szCs w:val="20"/>
          <w:color w:val="auto"/>
        </w:rPr>
      </w:pPr>
    </w:p>
    <w:p>
      <w:pPr>
        <w:ind w:right="20" w:firstLine="5"/>
        <w:spacing w:after="0" w:line="281" w:lineRule="auto"/>
        <w:tabs>
          <w:tab w:leader="none" w:pos="149"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reclassification of state margin taxes payable and other current liabilities to align with historical reporting of Westwood. Westwood classifies these amounts within Accounts payable and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80"/>
          </w:cols>
          <w:pgMar w:left="300" w:top="214" w:right="319" w:bottom="1440" w:gutter="0" w:footer="0" w:header="0"/>
        </w:sectPr>
      </w:pPr>
    </w:p>
    <w:bookmarkStart w:id="65" w:name="page66"/>
    <w:bookmarkEnd w:id="65"/>
    <w:p>
      <w:pPr>
        <w:jc w:val="center"/>
        <w:spacing w:after="0"/>
        <w:rPr>
          <w:sz w:val="20"/>
          <w:szCs w:val="20"/>
          <w:color w:val="auto"/>
        </w:rPr>
      </w:pPr>
      <w:r>
        <w:rPr>
          <w:rFonts w:ascii="Arial" w:cs="Arial" w:eastAsia="Arial" w:hAnsi="Arial"/>
          <w:sz w:val="14"/>
          <w:szCs w:val="14"/>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SALIENT PARTNERS’ AS ADJUSTED HISTORICAL FINANCIAL STATEMENT OF OPERATIONS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For the Nine Months Ended September 30, 2022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20" w:type="dxa"/>
            <w:vAlign w:val="bottom"/>
          </w:tcPr>
          <w:p>
            <w:pPr>
              <w:spacing w:after="0"/>
              <w:rPr>
                <w:sz w:val="14"/>
                <w:szCs w:val="14"/>
                <w:color w:val="auto"/>
              </w:rPr>
            </w:pPr>
          </w:p>
        </w:tc>
        <w:tc>
          <w:tcPr>
            <w:tcW w:w="342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3"/>
                <w:szCs w:val="13"/>
                <w:b w:val="1"/>
                <w:bCs w:val="1"/>
                <w:color w:val="auto"/>
              </w:rPr>
              <w:t>Nine Months Ended September 30, 2022</w:t>
            </w:r>
          </w:p>
        </w:tc>
        <w:tc>
          <w:tcPr>
            <w:tcW w:w="4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020" w:type="dxa"/>
            <w:vAlign w:val="bottom"/>
          </w:tcPr>
          <w:p>
            <w:pPr>
              <w:spacing w:after="0"/>
              <w:rPr>
                <w:sz w:val="10"/>
                <w:szCs w:val="10"/>
                <w:color w:val="auto"/>
              </w:rPr>
            </w:pPr>
          </w:p>
        </w:tc>
        <w:tc>
          <w:tcPr>
            <w:tcW w:w="1460" w:type="dxa"/>
            <w:vAlign w:val="bottom"/>
          </w:tcPr>
          <w:p>
            <w:pPr>
              <w:jc w:val="right"/>
              <w:spacing w:after="0" w:line="120" w:lineRule="exact"/>
              <w:rPr>
                <w:sz w:val="20"/>
                <w:szCs w:val="20"/>
                <w:color w:val="auto"/>
              </w:rPr>
            </w:pPr>
            <w:r>
              <w:rPr>
                <w:rFonts w:ascii="Arial" w:cs="Arial" w:eastAsia="Arial" w:hAnsi="Arial"/>
                <w:sz w:val="13"/>
                <w:szCs w:val="13"/>
                <w:b w:val="1"/>
                <w:bCs w:val="1"/>
                <w:color w:val="auto"/>
              </w:rPr>
              <w:t>Historical (Before</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Reclassification</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20" w:type="dxa"/>
            <w:vAlign w:val="bottom"/>
            <w:vMerge w:val="restart"/>
          </w:tcPr>
          <w:p>
            <w:pPr>
              <w:jc w:val="right"/>
              <w:ind w:right="560"/>
              <w:spacing w:after="0"/>
              <w:rPr>
                <w:sz w:val="20"/>
                <w:szCs w:val="20"/>
                <w:color w:val="auto"/>
              </w:rPr>
            </w:pPr>
            <w:r>
              <w:rPr>
                <w:rFonts w:ascii="Arial" w:cs="Arial" w:eastAsia="Arial" w:hAnsi="Arial"/>
                <w:sz w:val="13"/>
                <w:szCs w:val="13"/>
                <w:b w:val="1"/>
                <w:bCs w:val="1"/>
                <w:color w:val="auto"/>
              </w:rPr>
              <w:t>Reclassified</w:t>
            </w:r>
          </w:p>
        </w:tc>
        <w:tc>
          <w:tcPr>
            <w:tcW w:w="0" w:type="dxa"/>
            <w:vAlign w:val="bottom"/>
          </w:tcPr>
          <w:p>
            <w:pPr>
              <w:spacing w:after="0"/>
              <w:rPr>
                <w:sz w:val="1"/>
                <w:szCs w:val="1"/>
                <w:color w:val="auto"/>
              </w:rPr>
            </w:pPr>
          </w:p>
        </w:tc>
      </w:tr>
      <w:tr>
        <w:trPr>
          <w:trHeight w:val="165"/>
        </w:trPr>
        <w:tc>
          <w:tcPr>
            <w:tcW w:w="5020" w:type="dxa"/>
            <w:vAlign w:val="bottom"/>
          </w:tcPr>
          <w:p>
            <w:pPr>
              <w:spacing w:after="0"/>
              <w:rPr>
                <w:sz w:val="14"/>
                <w:szCs w:val="14"/>
                <w:color w:val="auto"/>
              </w:rPr>
            </w:pPr>
          </w:p>
        </w:tc>
        <w:tc>
          <w:tcPr>
            <w:tcW w:w="14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Reclassification</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Revenues</w:t>
            </w: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Advisory Fees</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020" w:type="dxa"/>
            <w:vAlign w:val="bottom"/>
          </w:tcPr>
          <w:p>
            <w:pPr>
              <w:ind w:left="100"/>
              <w:spacing w:after="0"/>
              <w:rPr>
                <w:sz w:val="20"/>
                <w:szCs w:val="20"/>
                <w:color w:val="auto"/>
              </w:rPr>
            </w:pPr>
            <w:r>
              <w:rPr>
                <w:rFonts w:ascii="Arial" w:cs="Arial" w:eastAsia="Arial" w:hAnsi="Arial"/>
                <w:sz w:val="12"/>
                <w:szCs w:val="12"/>
                <w:color w:val="auto"/>
              </w:rPr>
              <w:t>Asset-based</w:t>
            </w:r>
          </w:p>
        </w:tc>
        <w:tc>
          <w:tcPr>
            <w:tcW w:w="1460" w:type="dxa"/>
            <w:vAlign w:val="bottom"/>
          </w:tcPr>
          <w:p>
            <w:pPr>
              <w:jc w:val="right"/>
              <w:ind w:right="1318"/>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1259"/>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22,925</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 xml:space="preserve">(i) </w:t>
            </w:r>
            <w:r>
              <w:rPr>
                <w:rFonts w:ascii="Arial" w:cs="Arial" w:eastAsia="Arial" w:hAnsi="Arial"/>
                <w:sz w:val="12"/>
                <w:szCs w:val="12"/>
                <w:color w:val="auto"/>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22,925</w:t>
            </w: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jc w:val="center"/>
              <w:ind w:right="3820"/>
              <w:spacing w:after="0"/>
              <w:rPr>
                <w:sz w:val="20"/>
                <w:szCs w:val="20"/>
                <w:color w:val="auto"/>
              </w:rPr>
            </w:pPr>
            <w:r>
              <w:rPr>
                <w:rFonts w:ascii="Arial" w:cs="Arial" w:eastAsia="Arial" w:hAnsi="Arial"/>
                <w:sz w:val="12"/>
                <w:szCs w:val="12"/>
                <w:color w:val="auto"/>
                <w:w w:val="89"/>
              </w:rPr>
              <w:t>Performance-based</w:t>
            </w:r>
          </w:p>
        </w:tc>
        <w:tc>
          <w:tcPr>
            <w:tcW w:w="14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Arial" w:cs="Arial" w:eastAsia="Arial" w:hAnsi="Arial"/>
                <w:sz w:val="12"/>
                <w:szCs w:val="12"/>
                <w:color w:val="auto"/>
              </w:rPr>
              <w:t>Fund management and investment advisory</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7"/>
              </w:rPr>
              <w:t>22,802</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8"/>
              </w:rPr>
              <w:t>(22,802)</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(i)</w:t>
            </w: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net</w:t>
            </w:r>
          </w:p>
        </w:tc>
        <w:tc>
          <w:tcPr>
            <w:tcW w:w="14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(i)</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Private placement commission</w:t>
            </w:r>
          </w:p>
        </w:tc>
        <w:tc>
          <w:tcPr>
            <w:tcW w:w="1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w:t>
            </w:r>
          </w:p>
        </w:tc>
        <w:tc>
          <w:tcPr>
            <w:tcW w:w="14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53"/>
        </w:trPr>
        <w:tc>
          <w:tcPr>
            <w:tcW w:w="5020" w:type="dxa"/>
            <w:vAlign w:val="bottom"/>
            <w:shd w:val="clear" w:color="auto" w:fill="CCEEFF"/>
          </w:tcPr>
          <w:p>
            <w:pPr>
              <w:jc w:val="center"/>
              <w:ind w:right="3840"/>
              <w:spacing w:after="0"/>
              <w:rPr>
                <w:sz w:val="20"/>
                <w:szCs w:val="20"/>
                <w:color w:val="auto"/>
              </w:rPr>
            </w:pPr>
            <w:r>
              <w:rPr>
                <w:rFonts w:ascii="Arial" w:cs="Arial" w:eastAsia="Arial" w:hAnsi="Arial"/>
                <w:sz w:val="12"/>
                <w:szCs w:val="12"/>
                <w:color w:val="auto"/>
                <w:w w:val="90"/>
              </w:rPr>
              <w:t>Total Revenues</w:t>
            </w:r>
          </w:p>
        </w:tc>
        <w:tc>
          <w:tcPr>
            <w:tcW w:w="14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23,111</w:t>
            </w: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23,111</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Expenses</w:t>
            </w: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Servicing and private placement fees</w:t>
            </w:r>
          </w:p>
        </w:tc>
        <w:tc>
          <w:tcPr>
            <w:tcW w:w="14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4,620</w:t>
            </w: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4,620</w:t>
            </w:r>
          </w:p>
        </w:tc>
        <w:tc>
          <w:tcPr>
            <w:tcW w:w="0" w:type="dxa"/>
            <w:vAlign w:val="bottom"/>
          </w:tcPr>
          <w:p>
            <w:pPr>
              <w:spacing w:after="0"/>
              <w:rPr>
                <w:sz w:val="1"/>
                <w:szCs w:val="1"/>
                <w:color w:val="auto"/>
              </w:rPr>
            </w:pPr>
          </w:p>
        </w:tc>
      </w:tr>
      <w:tr>
        <w:trPr>
          <w:trHeight w:val="156"/>
        </w:trPr>
        <w:tc>
          <w:tcPr>
            <w:tcW w:w="5020" w:type="dxa"/>
            <w:vAlign w:val="bottom"/>
          </w:tcPr>
          <w:p>
            <w:pPr>
              <w:ind w:left="20"/>
              <w:spacing w:after="0"/>
              <w:rPr>
                <w:sz w:val="20"/>
                <w:szCs w:val="20"/>
                <w:color w:val="auto"/>
              </w:rPr>
            </w:pPr>
            <w:r>
              <w:rPr>
                <w:rFonts w:ascii="Arial" w:cs="Arial" w:eastAsia="Arial" w:hAnsi="Arial"/>
                <w:sz w:val="12"/>
                <w:szCs w:val="12"/>
                <w:color w:val="auto"/>
              </w:rPr>
              <w:t>Employee compensation and benefits</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7"/>
              </w:rPr>
              <w:t>11,942</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11,942</w:t>
            </w: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Travel expense</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(ii)</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Arial" w:cs="Arial" w:eastAsia="Arial" w:hAnsi="Arial"/>
                <w:sz w:val="12"/>
                <w:szCs w:val="12"/>
                <w:color w:val="auto"/>
              </w:rPr>
              <w:t>Sales and marketing</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57</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107</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(ii)</w:t>
            </w:r>
          </w:p>
        </w:tc>
        <w:tc>
          <w:tcPr>
            <w:tcW w:w="1520" w:type="dxa"/>
            <w:vAlign w:val="bottom"/>
          </w:tcPr>
          <w:p>
            <w:pPr>
              <w:jc w:val="right"/>
              <w:spacing w:after="0"/>
              <w:rPr>
                <w:sz w:val="20"/>
                <w:szCs w:val="20"/>
                <w:color w:val="auto"/>
              </w:rPr>
            </w:pPr>
            <w:r>
              <w:rPr>
                <w:rFonts w:ascii="Arial" w:cs="Arial" w:eastAsia="Arial" w:hAnsi="Arial"/>
                <w:sz w:val="12"/>
                <w:szCs w:val="12"/>
                <w:color w:val="auto"/>
              </w:rPr>
              <w:t>164</w:t>
            </w: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Information technology</w:t>
            </w:r>
          </w:p>
        </w:tc>
        <w:tc>
          <w:tcPr>
            <w:tcW w:w="14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2,223</w:t>
            </w: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2,223</w:t>
            </w:r>
          </w:p>
        </w:tc>
        <w:tc>
          <w:tcPr>
            <w:tcW w:w="0" w:type="dxa"/>
            <w:vAlign w:val="bottom"/>
          </w:tcPr>
          <w:p>
            <w:pPr>
              <w:spacing w:after="0"/>
              <w:rPr>
                <w:sz w:val="1"/>
                <w:szCs w:val="1"/>
                <w:color w:val="auto"/>
              </w:rPr>
            </w:pPr>
          </w:p>
        </w:tc>
      </w:tr>
      <w:tr>
        <w:trPr>
          <w:trHeight w:val="156"/>
        </w:trPr>
        <w:tc>
          <w:tcPr>
            <w:tcW w:w="5020" w:type="dxa"/>
            <w:vAlign w:val="bottom"/>
          </w:tcPr>
          <w:p>
            <w:pPr>
              <w:ind w:left="20"/>
              <w:spacing w:after="0"/>
              <w:rPr>
                <w:sz w:val="20"/>
                <w:szCs w:val="20"/>
                <w:color w:val="auto"/>
              </w:rPr>
            </w:pPr>
            <w:r>
              <w:rPr>
                <w:rFonts w:ascii="Arial" w:cs="Arial" w:eastAsia="Arial" w:hAnsi="Arial"/>
                <w:sz w:val="12"/>
                <w:szCs w:val="12"/>
                <w:color w:val="auto"/>
              </w:rPr>
              <w:t>Professional services</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1,460</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1,460</w:t>
            </w: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Depreciation and amortization</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(iii)</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Arial" w:cs="Arial" w:eastAsia="Arial" w:hAnsi="Arial"/>
                <w:sz w:val="12"/>
                <w:szCs w:val="12"/>
                <w:color w:val="auto"/>
              </w:rPr>
              <w:t>Occupancy expense</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375</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(375)</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(iii)</w:t>
            </w: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Insurance expense</w:t>
            </w:r>
          </w:p>
        </w:tc>
        <w:tc>
          <w:tcPr>
            <w:tcW w:w="14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w:t>
            </w: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(iii)</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Arial" w:cs="Arial" w:eastAsia="Arial" w:hAnsi="Arial"/>
                <w:sz w:val="12"/>
                <w:szCs w:val="12"/>
                <w:color w:val="auto"/>
              </w:rPr>
              <w:t>State margin tax</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88</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(88)</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(iii)</w:t>
            </w: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and administrative</w:t>
            </w:r>
          </w:p>
        </w:tc>
        <w:tc>
          <w:tcPr>
            <w:tcW w:w="14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949</w:t>
            </w: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908</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(iii)</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1,857</w:t>
            </w:r>
          </w:p>
        </w:tc>
        <w:tc>
          <w:tcPr>
            <w:tcW w:w="0" w:type="dxa"/>
            <w:vAlign w:val="bottom"/>
          </w:tcPr>
          <w:p>
            <w:pPr>
              <w:spacing w:after="0"/>
              <w:rPr>
                <w:sz w:val="1"/>
                <w:szCs w:val="1"/>
                <w:color w:val="auto"/>
              </w:rPr>
            </w:pPr>
          </w:p>
        </w:tc>
      </w:tr>
      <w:tr>
        <w:trPr>
          <w:trHeight w:val="147"/>
        </w:trPr>
        <w:tc>
          <w:tcPr>
            <w:tcW w:w="5020" w:type="dxa"/>
            <w:vAlign w:val="bottom"/>
            <w:tcBorders>
              <w:bottom w:val="single" w:sz="8" w:color="CCEEFF"/>
            </w:tcBorders>
          </w:tcPr>
          <w:p>
            <w:pPr>
              <w:jc w:val="center"/>
              <w:ind w:right="3860"/>
              <w:spacing w:after="0"/>
              <w:rPr>
                <w:sz w:val="20"/>
                <w:szCs w:val="20"/>
                <w:color w:val="auto"/>
              </w:rPr>
            </w:pPr>
            <w:r>
              <w:rPr>
                <w:rFonts w:ascii="Arial" w:cs="Arial" w:eastAsia="Arial" w:hAnsi="Arial"/>
                <w:sz w:val="12"/>
                <w:szCs w:val="12"/>
                <w:color w:val="auto"/>
                <w:w w:val="89"/>
              </w:rPr>
              <w:t>Total Expenses</w:t>
            </w:r>
          </w:p>
        </w:tc>
        <w:tc>
          <w:tcPr>
            <w:tcW w:w="14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7"/>
              </w:rPr>
              <w:t>22,266</w:t>
            </w:r>
          </w:p>
        </w:tc>
        <w:tc>
          <w:tcPr>
            <w:tcW w:w="140" w:type="dxa"/>
            <w:vAlign w:val="bottom"/>
            <w:tcBorders>
              <w:bottom w:val="single" w:sz="8" w:color="CCEEFF"/>
            </w:tcBorders>
          </w:tcPr>
          <w:p>
            <w:pPr>
              <w:spacing w:after="0"/>
              <w:rPr>
                <w:sz w:val="12"/>
                <w:szCs w:val="12"/>
                <w:color w:val="auto"/>
              </w:rPr>
            </w:pPr>
          </w:p>
        </w:tc>
        <w:tc>
          <w:tcPr>
            <w:tcW w:w="14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22,266</w:t>
            </w:r>
          </w:p>
        </w:tc>
        <w:tc>
          <w:tcPr>
            <w:tcW w:w="0" w:type="dxa"/>
            <w:vAlign w:val="bottom"/>
          </w:tcPr>
          <w:p>
            <w:pPr>
              <w:spacing w:after="0"/>
              <w:rPr>
                <w:sz w:val="1"/>
                <w:szCs w:val="1"/>
                <w:color w:val="auto"/>
              </w:rPr>
            </w:pPr>
          </w:p>
        </w:tc>
      </w:tr>
      <w:tr>
        <w:trPr>
          <w:trHeight w:val="153"/>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operating income</w:t>
            </w:r>
          </w:p>
        </w:tc>
        <w:tc>
          <w:tcPr>
            <w:tcW w:w="14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845</w:t>
            </w: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845</w:t>
            </w:r>
          </w:p>
        </w:tc>
        <w:tc>
          <w:tcPr>
            <w:tcW w:w="0" w:type="dxa"/>
            <w:vAlign w:val="bottom"/>
          </w:tcPr>
          <w:p>
            <w:pPr>
              <w:spacing w:after="0"/>
              <w:rPr>
                <w:sz w:val="1"/>
                <w:szCs w:val="1"/>
                <w:color w:val="auto"/>
              </w:rPr>
            </w:pPr>
          </w:p>
        </w:tc>
      </w:tr>
      <w:tr>
        <w:trPr>
          <w:trHeight w:val="156"/>
        </w:trPr>
        <w:tc>
          <w:tcPr>
            <w:tcW w:w="5020" w:type="dxa"/>
            <w:vAlign w:val="bottom"/>
          </w:tcPr>
          <w:p>
            <w:pPr>
              <w:ind w:left="20"/>
              <w:spacing w:after="0"/>
              <w:rPr>
                <w:sz w:val="20"/>
                <w:szCs w:val="20"/>
                <w:color w:val="auto"/>
              </w:rPr>
            </w:pPr>
            <w:r>
              <w:rPr>
                <w:rFonts w:ascii="Arial" w:cs="Arial" w:eastAsia="Arial" w:hAnsi="Arial"/>
                <w:sz w:val="12"/>
                <w:szCs w:val="12"/>
                <w:color w:val="auto"/>
              </w:rPr>
              <w:t>Debt modification costs</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(298)</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(298)</w:t>
            </w: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(1,120)</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w:t>
            </w:r>
          </w:p>
        </w:tc>
        <w:tc>
          <w:tcPr>
            <w:tcW w:w="0" w:type="dxa"/>
            <w:vAlign w:val="bottom"/>
          </w:tcPr>
          <w:p>
            <w:pPr>
              <w:spacing w:after="0"/>
              <w:rPr>
                <w:sz w:val="1"/>
                <w:szCs w:val="1"/>
                <w:color w:val="auto"/>
              </w:rPr>
            </w:pPr>
          </w:p>
        </w:tc>
      </w:tr>
      <w:tr>
        <w:trPr>
          <w:trHeight w:val="156"/>
        </w:trPr>
        <w:tc>
          <w:tcPr>
            <w:tcW w:w="5020" w:type="dxa"/>
            <w:vAlign w:val="bottom"/>
          </w:tcPr>
          <w:p>
            <w:pPr>
              <w:ind w:left="20"/>
              <w:spacing w:after="0"/>
              <w:rPr>
                <w:sz w:val="20"/>
                <w:szCs w:val="20"/>
                <w:color w:val="auto"/>
              </w:rPr>
            </w:pPr>
            <w:r>
              <w:rPr>
                <w:rFonts w:ascii="Arial" w:cs="Arial" w:eastAsia="Arial" w:hAnsi="Arial"/>
                <w:sz w:val="12"/>
                <w:szCs w:val="12"/>
                <w:color w:val="auto"/>
              </w:rPr>
              <w:t>Restructuring fee</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9"/>
              </w:rPr>
              <w:t>(1,750)</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(1,750)</w:t>
            </w: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in earnings of unconsolidated affiliates, net</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899</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899</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Arial" w:cs="Arial" w:eastAsia="Arial" w:hAnsi="Arial"/>
                <w:sz w:val="12"/>
                <w:szCs w:val="12"/>
                <w:color w:val="auto"/>
              </w:rPr>
              <w:t>Interest and dividend income</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(iv)</w:t>
            </w: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investment income</w:t>
            </w:r>
          </w:p>
        </w:tc>
        <w:tc>
          <w:tcPr>
            <w:tcW w:w="14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(iv)</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6"/>
        </w:trPr>
        <w:tc>
          <w:tcPr>
            <w:tcW w:w="5020" w:type="dxa"/>
            <w:vAlign w:val="bottom"/>
          </w:tcPr>
          <w:p>
            <w:pPr>
              <w:ind w:left="20"/>
              <w:spacing w:after="0"/>
              <w:rPr>
                <w:sz w:val="20"/>
                <w:szCs w:val="20"/>
                <w:color w:val="auto"/>
              </w:rPr>
            </w:pPr>
            <w:r>
              <w:rPr>
                <w:rFonts w:ascii="Arial" w:cs="Arial" w:eastAsia="Arial" w:hAnsi="Arial"/>
                <w:sz w:val="12"/>
                <w:szCs w:val="12"/>
                <w:color w:val="auto"/>
              </w:rPr>
              <w:t>Other expense, net</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9"/>
              </w:rPr>
              <w:t>(1,479)</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(1,479)</w:t>
            </w: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income</w:t>
            </w:r>
          </w:p>
        </w:tc>
        <w:tc>
          <w:tcPr>
            <w:tcW w:w="14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020" w:type="dxa"/>
            <w:vAlign w:val="bottom"/>
          </w:tcPr>
          <w:p>
            <w:pPr>
              <w:ind w:left="20"/>
              <w:spacing w:after="0"/>
              <w:rPr>
                <w:sz w:val="20"/>
                <w:szCs w:val="20"/>
                <w:color w:val="auto"/>
              </w:rPr>
            </w:pPr>
            <w:r>
              <w:rPr>
                <w:rFonts w:ascii="Arial" w:cs="Arial" w:eastAsia="Arial" w:hAnsi="Arial"/>
                <w:sz w:val="12"/>
                <w:szCs w:val="12"/>
                <w:color w:val="auto"/>
              </w:rPr>
              <w:t>Income (loss) before income taxes</w:t>
            </w:r>
          </w:p>
        </w:tc>
        <w:tc>
          <w:tcPr>
            <w:tcW w:w="1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9"/>
              </w:rPr>
              <w:t>(2,901)</w:t>
            </w:r>
          </w:p>
        </w:tc>
        <w:tc>
          <w:tcPr>
            <w:tcW w:w="14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(2,901)</w:t>
            </w: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provision</w:t>
            </w:r>
          </w:p>
        </w:tc>
        <w:tc>
          <w:tcPr>
            <w:tcW w:w="14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502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460" w:type="dxa"/>
            <w:vAlign w:val="bottom"/>
            <w:tcBorders>
              <w:top w:val="single" w:sz="8" w:color="auto"/>
              <w:bottom w:val="single" w:sz="8" w:color="auto"/>
            </w:tcBorders>
          </w:tcPr>
          <w:p>
            <w:pPr>
              <w:jc w:val="right"/>
              <w:ind w:right="1318"/>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(2,901)</w:t>
            </w:r>
          </w:p>
        </w:tc>
        <w:tc>
          <w:tcPr>
            <w:tcW w:w="140" w:type="dxa"/>
            <w:vAlign w:val="bottom"/>
          </w:tcPr>
          <w:p>
            <w:pPr>
              <w:spacing w:after="0"/>
              <w:rPr>
                <w:sz w:val="13"/>
                <w:szCs w:val="13"/>
                <w:color w:val="auto"/>
              </w:rPr>
            </w:pPr>
          </w:p>
        </w:tc>
        <w:tc>
          <w:tcPr>
            <w:tcW w:w="1400" w:type="dxa"/>
            <w:vAlign w:val="bottom"/>
            <w:tcBorders>
              <w:top w:val="single" w:sz="8" w:color="auto"/>
              <w:bottom w:val="single" w:sz="8" w:color="auto"/>
            </w:tcBorders>
          </w:tcPr>
          <w:p>
            <w:pPr>
              <w:jc w:val="right"/>
              <w:ind w:right="1259"/>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(2,901)</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comprehensive income (loss)</w:t>
            </w:r>
          </w:p>
        </w:tc>
        <w:tc>
          <w:tcPr>
            <w:tcW w:w="1460" w:type="dxa"/>
            <w:vAlign w:val="bottom"/>
            <w:tcBorders>
              <w:bottom w:val="single" w:sz="8" w:color="auto"/>
            </w:tcBorders>
            <w:shd w:val="clear" w:color="auto" w:fill="CCEEFF"/>
          </w:tcPr>
          <w:p>
            <w:pPr>
              <w:jc w:val="right"/>
              <w:ind w:right="1318"/>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(2,901)</w:t>
            </w:r>
          </w:p>
        </w:tc>
        <w:tc>
          <w:tcPr>
            <w:tcW w:w="14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1259"/>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80"/>
          </w:cols>
          <w:pgMar w:left="300" w:top="214" w:right="319" w:bottom="1440" w:gutter="0" w:footer="0" w:header="0"/>
        </w:sectPr>
      </w:pPr>
    </w:p>
    <w:bookmarkStart w:id="66" w:name="page67"/>
    <w:bookmarkEnd w:id="66"/>
    <w:p>
      <w:pPr>
        <w:jc w:val="center"/>
        <w:spacing w:after="0"/>
        <w:rPr>
          <w:sz w:val="20"/>
          <w:szCs w:val="20"/>
          <w:color w:val="auto"/>
        </w:rPr>
      </w:pPr>
      <w:r>
        <w:rPr>
          <w:rFonts w:ascii="Arial" w:cs="Arial" w:eastAsia="Arial" w:hAnsi="Arial"/>
          <w:sz w:val="14"/>
          <w:szCs w:val="14"/>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SALIENT PARTNERS’ AS ADJUSTED HISTORICAL FINANCIAL STATEMENT OF OPERATIONS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For the Year Ended December 31, 2021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20" w:type="dxa"/>
            <w:vAlign w:val="bottom"/>
          </w:tcPr>
          <w:p>
            <w:pPr>
              <w:spacing w:after="0"/>
              <w:rPr>
                <w:sz w:val="14"/>
                <w:szCs w:val="14"/>
                <w:color w:val="auto"/>
              </w:rPr>
            </w:pPr>
          </w:p>
        </w:tc>
        <w:tc>
          <w:tcPr>
            <w:tcW w:w="34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3"/>
                <w:szCs w:val="13"/>
                <w:b w:val="1"/>
                <w:bCs w:val="1"/>
                <w:color w:val="auto"/>
              </w:rPr>
              <w:t>Year Ended December 31, 2021</w:t>
            </w:r>
          </w:p>
        </w:tc>
        <w:tc>
          <w:tcPr>
            <w:tcW w:w="4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020" w:type="dxa"/>
            <w:vAlign w:val="bottom"/>
          </w:tcPr>
          <w:p>
            <w:pPr>
              <w:spacing w:after="0"/>
              <w:rPr>
                <w:sz w:val="10"/>
                <w:szCs w:val="10"/>
                <w:color w:val="auto"/>
              </w:rPr>
            </w:pPr>
          </w:p>
        </w:tc>
        <w:tc>
          <w:tcPr>
            <w:tcW w:w="1460" w:type="dxa"/>
            <w:vAlign w:val="bottom"/>
          </w:tcPr>
          <w:p>
            <w:pPr>
              <w:jc w:val="right"/>
              <w:spacing w:after="0" w:line="120" w:lineRule="exact"/>
              <w:rPr>
                <w:sz w:val="20"/>
                <w:szCs w:val="20"/>
                <w:color w:val="auto"/>
              </w:rPr>
            </w:pPr>
            <w:r>
              <w:rPr>
                <w:rFonts w:ascii="Arial" w:cs="Arial" w:eastAsia="Arial" w:hAnsi="Arial"/>
                <w:sz w:val="13"/>
                <w:szCs w:val="13"/>
                <w:b w:val="1"/>
                <w:bCs w:val="1"/>
                <w:color w:val="auto"/>
              </w:rPr>
              <w:t>Historical (Before</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Reclassification</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20" w:type="dxa"/>
            <w:vAlign w:val="bottom"/>
            <w:vMerge w:val="restart"/>
          </w:tcPr>
          <w:p>
            <w:pPr>
              <w:jc w:val="right"/>
              <w:ind w:right="560"/>
              <w:spacing w:after="0"/>
              <w:rPr>
                <w:sz w:val="20"/>
                <w:szCs w:val="20"/>
                <w:color w:val="auto"/>
              </w:rPr>
            </w:pPr>
            <w:r>
              <w:rPr>
                <w:rFonts w:ascii="Arial" w:cs="Arial" w:eastAsia="Arial" w:hAnsi="Arial"/>
                <w:sz w:val="13"/>
                <w:szCs w:val="13"/>
                <w:b w:val="1"/>
                <w:bCs w:val="1"/>
                <w:color w:val="auto"/>
              </w:rPr>
              <w:t>Reclassified</w:t>
            </w:r>
          </w:p>
        </w:tc>
        <w:tc>
          <w:tcPr>
            <w:tcW w:w="0" w:type="dxa"/>
            <w:vAlign w:val="bottom"/>
          </w:tcPr>
          <w:p>
            <w:pPr>
              <w:spacing w:after="0"/>
              <w:rPr>
                <w:sz w:val="1"/>
                <w:szCs w:val="1"/>
                <w:color w:val="auto"/>
              </w:rPr>
            </w:pPr>
          </w:p>
        </w:tc>
      </w:tr>
      <w:tr>
        <w:trPr>
          <w:trHeight w:val="165"/>
        </w:trPr>
        <w:tc>
          <w:tcPr>
            <w:tcW w:w="5020" w:type="dxa"/>
            <w:vAlign w:val="bottom"/>
          </w:tcPr>
          <w:p>
            <w:pPr>
              <w:spacing w:after="0"/>
              <w:rPr>
                <w:sz w:val="14"/>
                <w:szCs w:val="14"/>
                <w:color w:val="auto"/>
              </w:rPr>
            </w:pPr>
          </w:p>
        </w:tc>
        <w:tc>
          <w:tcPr>
            <w:tcW w:w="14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Reclassification)</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Revenues</w:t>
            </w: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Advisory Fees</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020" w:type="dxa"/>
            <w:vAlign w:val="bottom"/>
          </w:tcPr>
          <w:p>
            <w:pPr>
              <w:ind w:left="100"/>
              <w:spacing w:after="0"/>
              <w:rPr>
                <w:sz w:val="20"/>
                <w:szCs w:val="20"/>
                <w:color w:val="auto"/>
              </w:rPr>
            </w:pPr>
            <w:r>
              <w:rPr>
                <w:rFonts w:ascii="Arial" w:cs="Arial" w:eastAsia="Arial" w:hAnsi="Arial"/>
                <w:sz w:val="12"/>
                <w:szCs w:val="12"/>
                <w:color w:val="auto"/>
              </w:rPr>
              <w:t>Asset-based</w:t>
            </w:r>
          </w:p>
        </w:tc>
        <w:tc>
          <w:tcPr>
            <w:tcW w:w="1460" w:type="dxa"/>
            <w:vAlign w:val="bottom"/>
          </w:tcPr>
          <w:p>
            <w:pPr>
              <w:jc w:val="right"/>
              <w:ind w:right="1318"/>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1259"/>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28,111</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 xml:space="preserve">(i) </w:t>
            </w:r>
            <w:r>
              <w:rPr>
                <w:rFonts w:ascii="Arial" w:cs="Arial" w:eastAsia="Arial" w:hAnsi="Arial"/>
                <w:sz w:val="12"/>
                <w:szCs w:val="12"/>
                <w:color w:val="auto"/>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28,111</w:t>
            </w: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Fund management and investment advisory</w:t>
            </w:r>
          </w:p>
        </w:tc>
        <w:tc>
          <w:tcPr>
            <w:tcW w:w="14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27,940</w:t>
            </w: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(27,940)</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(i)</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Arial" w:cs="Arial" w:eastAsia="Arial" w:hAnsi="Arial"/>
                <w:sz w:val="12"/>
                <w:szCs w:val="12"/>
                <w:color w:val="auto"/>
              </w:rPr>
              <w:t>Other, net</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171</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(171)</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(i)</w:t>
            </w: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Private placement commission</w:t>
            </w:r>
          </w:p>
        </w:tc>
        <w:tc>
          <w:tcPr>
            <w:tcW w:w="14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140" w:type="dxa"/>
            <w:vAlign w:val="bottom"/>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147"/>
        </w:trPr>
        <w:tc>
          <w:tcPr>
            <w:tcW w:w="5020" w:type="dxa"/>
            <w:vAlign w:val="bottom"/>
          </w:tcPr>
          <w:p>
            <w:pPr>
              <w:ind w:left="180"/>
              <w:spacing w:after="0"/>
              <w:rPr>
                <w:sz w:val="20"/>
                <w:szCs w:val="20"/>
                <w:color w:val="auto"/>
              </w:rPr>
            </w:pPr>
            <w:r>
              <w:rPr>
                <w:rFonts w:ascii="Arial" w:cs="Arial" w:eastAsia="Arial" w:hAnsi="Arial"/>
                <w:sz w:val="12"/>
                <w:szCs w:val="12"/>
                <w:color w:val="auto"/>
              </w:rPr>
              <w:t>Total Revenues</w:t>
            </w:r>
          </w:p>
        </w:tc>
        <w:tc>
          <w:tcPr>
            <w:tcW w:w="14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7"/>
              </w:rPr>
              <w:t>28,411</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28,411</w:t>
            </w: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Expenses</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Pr>
          <w:p>
            <w:pPr>
              <w:ind w:left="20"/>
              <w:spacing w:after="0"/>
              <w:rPr>
                <w:sz w:val="20"/>
                <w:szCs w:val="20"/>
                <w:color w:val="auto"/>
              </w:rPr>
            </w:pPr>
            <w:r>
              <w:rPr>
                <w:rFonts w:ascii="Arial" w:cs="Arial" w:eastAsia="Arial" w:hAnsi="Arial"/>
                <w:sz w:val="12"/>
                <w:szCs w:val="12"/>
                <w:color w:val="auto"/>
              </w:rPr>
              <w:t>Servicing and private placement fees</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5,706</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5,706</w:t>
            </w: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Employee compensation and benefits</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15,864</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15,864</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Arial" w:cs="Arial" w:eastAsia="Arial" w:hAnsi="Arial"/>
                <w:sz w:val="12"/>
                <w:szCs w:val="12"/>
                <w:color w:val="auto"/>
              </w:rPr>
              <w:t>Travel expense</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44</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(44)</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(ii)</w:t>
            </w: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Sales and marketing</w:t>
            </w:r>
          </w:p>
        </w:tc>
        <w:tc>
          <w:tcPr>
            <w:tcW w:w="14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(ii)</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156"/>
        </w:trPr>
        <w:tc>
          <w:tcPr>
            <w:tcW w:w="5020" w:type="dxa"/>
            <w:vAlign w:val="bottom"/>
          </w:tcPr>
          <w:p>
            <w:pPr>
              <w:ind w:left="20"/>
              <w:spacing w:after="0"/>
              <w:rPr>
                <w:sz w:val="20"/>
                <w:szCs w:val="20"/>
                <w:color w:val="auto"/>
              </w:rPr>
            </w:pPr>
            <w:r>
              <w:rPr>
                <w:rFonts w:ascii="Arial" w:cs="Arial" w:eastAsia="Arial" w:hAnsi="Arial"/>
                <w:sz w:val="12"/>
                <w:szCs w:val="12"/>
                <w:color w:val="auto"/>
              </w:rPr>
              <w:t>Information technology</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2,855</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2,855</w:t>
            </w: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Professional services</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2,914</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2,914</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Arial" w:cs="Arial" w:eastAsia="Arial" w:hAnsi="Arial"/>
                <w:sz w:val="12"/>
                <w:szCs w:val="12"/>
                <w:color w:val="auto"/>
              </w:rPr>
              <w:t>Depreciation and amortization</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144</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(144)</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(iii)</w:t>
            </w: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Occupancy expense</w:t>
            </w:r>
          </w:p>
        </w:tc>
        <w:tc>
          <w:tcPr>
            <w:tcW w:w="14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w:t>
            </w: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(iii)</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Arial" w:cs="Arial" w:eastAsia="Arial" w:hAnsi="Arial"/>
                <w:sz w:val="12"/>
                <w:szCs w:val="12"/>
                <w:color w:val="auto"/>
              </w:rPr>
              <w:t>Insurance expense</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416</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(416)</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(iii)</w:t>
            </w: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State margin tax</w:t>
            </w:r>
          </w:p>
        </w:tc>
        <w:tc>
          <w:tcPr>
            <w:tcW w:w="14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(iii)</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Arial" w:cs="Arial" w:eastAsia="Arial" w:hAnsi="Arial"/>
                <w:sz w:val="12"/>
                <w:szCs w:val="12"/>
                <w:color w:val="auto"/>
              </w:rPr>
              <w:t>General and administrative</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1,218</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1,081</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(iii)</w:t>
            </w:r>
          </w:p>
        </w:tc>
        <w:tc>
          <w:tcPr>
            <w:tcW w:w="1520" w:type="dxa"/>
            <w:vAlign w:val="bottom"/>
          </w:tcPr>
          <w:p>
            <w:pPr>
              <w:jc w:val="right"/>
              <w:spacing w:after="0"/>
              <w:rPr>
                <w:sz w:val="20"/>
                <w:szCs w:val="20"/>
                <w:color w:val="auto"/>
              </w:rPr>
            </w:pPr>
            <w:r>
              <w:rPr>
                <w:rFonts w:ascii="Arial" w:cs="Arial" w:eastAsia="Arial" w:hAnsi="Arial"/>
                <w:sz w:val="12"/>
                <w:szCs w:val="12"/>
                <w:color w:val="auto"/>
              </w:rPr>
              <w:t>2,299</w:t>
            </w:r>
          </w:p>
        </w:tc>
        <w:tc>
          <w:tcPr>
            <w:tcW w:w="0" w:type="dxa"/>
            <w:vAlign w:val="bottom"/>
          </w:tcPr>
          <w:p>
            <w:pPr>
              <w:spacing w:after="0"/>
              <w:rPr>
                <w:sz w:val="1"/>
                <w:szCs w:val="1"/>
                <w:color w:val="auto"/>
              </w:rPr>
            </w:pPr>
          </w:p>
        </w:tc>
      </w:tr>
      <w:tr>
        <w:trPr>
          <w:trHeight w:val="151"/>
        </w:trPr>
        <w:tc>
          <w:tcPr>
            <w:tcW w:w="5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Expenses</w:t>
            </w:r>
          </w:p>
        </w:tc>
        <w:tc>
          <w:tcPr>
            <w:tcW w:w="146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29,734</w:t>
            </w:r>
          </w:p>
        </w:tc>
        <w:tc>
          <w:tcPr>
            <w:tcW w:w="14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29,734</w:t>
            </w:r>
          </w:p>
        </w:tc>
        <w:tc>
          <w:tcPr>
            <w:tcW w:w="0" w:type="dxa"/>
            <w:vAlign w:val="bottom"/>
          </w:tcPr>
          <w:p>
            <w:pPr>
              <w:spacing w:after="0"/>
              <w:rPr>
                <w:sz w:val="1"/>
                <w:szCs w:val="1"/>
                <w:color w:val="auto"/>
              </w:rPr>
            </w:pPr>
          </w:p>
        </w:tc>
      </w:tr>
      <w:tr>
        <w:trPr>
          <w:trHeight w:val="149"/>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Net operating loss</w:t>
            </w:r>
          </w:p>
        </w:tc>
        <w:tc>
          <w:tcPr>
            <w:tcW w:w="14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w w:val="99"/>
              </w:rPr>
              <w:t>(1,323)</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b w:val="1"/>
                <w:bCs w:val="1"/>
                <w:color w:val="auto"/>
              </w:rPr>
              <w:t>(1,323)</w:t>
            </w: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Debt modification costs</w:t>
            </w:r>
          </w:p>
        </w:tc>
        <w:tc>
          <w:tcPr>
            <w:tcW w:w="14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(1,247)</w:t>
            </w: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(1,247)</w:t>
            </w:r>
          </w:p>
        </w:tc>
        <w:tc>
          <w:tcPr>
            <w:tcW w:w="0" w:type="dxa"/>
            <w:vAlign w:val="bottom"/>
          </w:tcPr>
          <w:p>
            <w:pPr>
              <w:spacing w:after="0"/>
              <w:rPr>
                <w:sz w:val="1"/>
                <w:szCs w:val="1"/>
                <w:color w:val="auto"/>
              </w:rPr>
            </w:pPr>
          </w:p>
        </w:tc>
      </w:tr>
      <w:tr>
        <w:trPr>
          <w:trHeight w:val="156"/>
        </w:trPr>
        <w:tc>
          <w:tcPr>
            <w:tcW w:w="5020" w:type="dxa"/>
            <w:vAlign w:val="bottom"/>
          </w:tcPr>
          <w:p>
            <w:pPr>
              <w:ind w:left="20"/>
              <w:spacing w:after="0"/>
              <w:rPr>
                <w:sz w:val="20"/>
                <w:szCs w:val="20"/>
                <w:color w:val="auto"/>
              </w:rPr>
            </w:pPr>
            <w:r>
              <w:rPr>
                <w:rFonts w:ascii="Arial" w:cs="Arial" w:eastAsia="Arial" w:hAnsi="Arial"/>
                <w:sz w:val="12"/>
                <w:szCs w:val="12"/>
                <w:color w:val="auto"/>
              </w:rPr>
              <w:t>Interest expense</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9"/>
              </w:rPr>
              <w:t>(2,912)</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(2,912)</w:t>
            </w: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Restructuring fee</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w:t>
            </w:r>
          </w:p>
        </w:tc>
        <w:tc>
          <w:tcPr>
            <w:tcW w:w="0" w:type="dxa"/>
            <w:vAlign w:val="bottom"/>
          </w:tcPr>
          <w:p>
            <w:pPr>
              <w:spacing w:after="0"/>
              <w:rPr>
                <w:sz w:val="1"/>
                <w:szCs w:val="1"/>
                <w:color w:val="auto"/>
              </w:rPr>
            </w:pPr>
          </w:p>
        </w:tc>
      </w:tr>
      <w:tr>
        <w:trPr>
          <w:trHeight w:val="156"/>
        </w:trPr>
        <w:tc>
          <w:tcPr>
            <w:tcW w:w="5020" w:type="dxa"/>
            <w:vAlign w:val="bottom"/>
          </w:tcPr>
          <w:p>
            <w:pPr>
              <w:ind w:left="20"/>
              <w:spacing w:after="0"/>
              <w:rPr>
                <w:sz w:val="20"/>
                <w:szCs w:val="20"/>
                <w:color w:val="auto"/>
              </w:rPr>
            </w:pPr>
            <w:r>
              <w:rPr>
                <w:rFonts w:ascii="Arial" w:cs="Arial" w:eastAsia="Arial" w:hAnsi="Arial"/>
                <w:sz w:val="12"/>
                <w:szCs w:val="12"/>
                <w:color w:val="auto"/>
              </w:rPr>
              <w:t>Impairment of investments in unconsolidated affiliates</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(156)</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in earnings of unconsolidated affiliates, net</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Arial" w:cs="Arial" w:eastAsia="Arial" w:hAnsi="Arial"/>
                <w:sz w:val="12"/>
                <w:szCs w:val="12"/>
                <w:color w:val="auto"/>
              </w:rPr>
              <w:t>Interest and dividend income</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(iv)</w:t>
            </w: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SBA loan forgiven</w:t>
            </w:r>
          </w:p>
        </w:tc>
        <w:tc>
          <w:tcPr>
            <w:tcW w:w="14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1,711</w:t>
            </w: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1,711</w:t>
            </w:r>
          </w:p>
        </w:tc>
        <w:tc>
          <w:tcPr>
            <w:tcW w:w="0" w:type="dxa"/>
            <w:vAlign w:val="bottom"/>
          </w:tcPr>
          <w:p>
            <w:pPr>
              <w:spacing w:after="0"/>
              <w:rPr>
                <w:sz w:val="1"/>
                <w:szCs w:val="1"/>
                <w:color w:val="auto"/>
              </w:rPr>
            </w:pPr>
          </w:p>
        </w:tc>
      </w:tr>
      <w:tr>
        <w:trPr>
          <w:trHeight w:val="156"/>
        </w:trPr>
        <w:tc>
          <w:tcPr>
            <w:tcW w:w="5020" w:type="dxa"/>
            <w:vAlign w:val="bottom"/>
          </w:tcPr>
          <w:p>
            <w:pPr>
              <w:ind w:left="20"/>
              <w:spacing w:after="0"/>
              <w:rPr>
                <w:sz w:val="20"/>
                <w:szCs w:val="20"/>
                <w:color w:val="auto"/>
              </w:rPr>
            </w:pPr>
            <w:r>
              <w:rPr>
                <w:rFonts w:ascii="Arial" w:cs="Arial" w:eastAsia="Arial" w:hAnsi="Arial"/>
                <w:sz w:val="12"/>
                <w:szCs w:val="12"/>
                <w:color w:val="auto"/>
              </w:rPr>
              <w:t>Term loan and revolver including interest forgiveness</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7"/>
              </w:rPr>
              <w:t>18,436</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18,436</w:t>
            </w: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Realized loss on unconsolidated affiliates</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Arial" w:cs="Arial" w:eastAsia="Arial" w:hAnsi="Arial"/>
                <w:sz w:val="12"/>
                <w:szCs w:val="12"/>
                <w:color w:val="auto"/>
              </w:rPr>
              <w:t>Net investment income</w:t>
            </w:r>
          </w:p>
        </w:tc>
        <w:tc>
          <w:tcPr>
            <w:tcW w:w="146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(iv)</w:t>
            </w:r>
          </w:p>
        </w:tc>
        <w:tc>
          <w:tcPr>
            <w:tcW w:w="1520" w:type="dxa"/>
            <w:vAlign w:val="bottom"/>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expense, net</w:t>
            </w:r>
          </w:p>
        </w:tc>
        <w:tc>
          <w:tcPr>
            <w:tcW w:w="14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40" w:type="dxa"/>
            <w:vAlign w:val="bottom"/>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7"/>
        </w:trPr>
        <w:tc>
          <w:tcPr>
            <w:tcW w:w="5020" w:type="dxa"/>
            <w:vAlign w:val="bottom"/>
          </w:tcPr>
          <w:p>
            <w:pPr>
              <w:ind w:left="20"/>
              <w:spacing w:after="0"/>
              <w:rPr>
                <w:sz w:val="20"/>
                <w:szCs w:val="20"/>
                <w:color w:val="auto"/>
              </w:rPr>
            </w:pPr>
            <w:r>
              <w:rPr>
                <w:rFonts w:ascii="Arial" w:cs="Arial" w:eastAsia="Arial" w:hAnsi="Arial"/>
                <w:sz w:val="12"/>
                <w:szCs w:val="12"/>
                <w:color w:val="auto"/>
              </w:rPr>
              <w:t>Income (loss) before income taxes</w:t>
            </w:r>
          </w:p>
        </w:tc>
        <w:tc>
          <w:tcPr>
            <w:tcW w:w="14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7"/>
              </w:rPr>
              <w:t>14,463</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14,463</w:t>
            </w: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provision</w:t>
            </w:r>
          </w:p>
        </w:tc>
        <w:tc>
          <w:tcPr>
            <w:tcW w:w="14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5020" w:type="dxa"/>
            <w:vAlign w:val="bottom"/>
          </w:tcPr>
          <w:p>
            <w:pPr>
              <w:ind w:left="20"/>
              <w:spacing w:after="0"/>
              <w:rPr>
                <w:sz w:val="20"/>
                <w:szCs w:val="20"/>
                <w:color w:val="auto"/>
              </w:rPr>
            </w:pPr>
            <w:r>
              <w:rPr>
                <w:rFonts w:ascii="Arial" w:cs="Arial" w:eastAsia="Arial" w:hAnsi="Arial"/>
                <w:sz w:val="12"/>
                <w:szCs w:val="12"/>
                <w:color w:val="auto"/>
              </w:rPr>
              <w:t>Income from discontinued operations</w:t>
            </w:r>
          </w:p>
        </w:tc>
        <w:tc>
          <w:tcPr>
            <w:tcW w:w="14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734</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734</w:t>
            </w: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Gain on sale of business, net of transaction costs</w:t>
            </w:r>
          </w:p>
        </w:tc>
        <w:tc>
          <w:tcPr>
            <w:tcW w:w="14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2,660</w:t>
            </w:r>
          </w:p>
        </w:tc>
        <w:tc>
          <w:tcPr>
            <w:tcW w:w="14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2,660</w:t>
            </w:r>
          </w:p>
        </w:tc>
        <w:tc>
          <w:tcPr>
            <w:tcW w:w="0" w:type="dxa"/>
            <w:vAlign w:val="bottom"/>
          </w:tcPr>
          <w:p>
            <w:pPr>
              <w:spacing w:after="0"/>
              <w:rPr>
                <w:sz w:val="1"/>
                <w:szCs w:val="1"/>
                <w:color w:val="auto"/>
              </w:rPr>
            </w:pPr>
          </w:p>
        </w:tc>
      </w:tr>
      <w:tr>
        <w:trPr>
          <w:trHeight w:val="150"/>
        </w:trPr>
        <w:tc>
          <w:tcPr>
            <w:tcW w:w="502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460" w:type="dxa"/>
            <w:vAlign w:val="bottom"/>
            <w:tcBorders>
              <w:bottom w:val="single" w:sz="8" w:color="auto"/>
            </w:tcBorders>
          </w:tcPr>
          <w:p>
            <w:pPr>
              <w:jc w:val="right"/>
              <w:ind w:right="1318"/>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17,857</w:t>
            </w:r>
          </w:p>
        </w:tc>
        <w:tc>
          <w:tcPr>
            <w:tcW w:w="140" w:type="dxa"/>
            <w:vAlign w:val="bottom"/>
          </w:tcPr>
          <w:p>
            <w:pPr>
              <w:spacing w:after="0"/>
              <w:rPr>
                <w:sz w:val="13"/>
                <w:szCs w:val="13"/>
                <w:color w:val="auto"/>
              </w:rPr>
            </w:pPr>
          </w:p>
        </w:tc>
        <w:tc>
          <w:tcPr>
            <w:tcW w:w="1400" w:type="dxa"/>
            <w:vAlign w:val="bottom"/>
            <w:tcBorders>
              <w:bottom w:val="single" w:sz="8" w:color="auto"/>
            </w:tcBorders>
          </w:tcPr>
          <w:p>
            <w:pPr>
              <w:jc w:val="right"/>
              <w:ind w:right="1259"/>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17,857</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comprehensive income</w:t>
            </w:r>
          </w:p>
        </w:tc>
        <w:tc>
          <w:tcPr>
            <w:tcW w:w="1460" w:type="dxa"/>
            <w:vAlign w:val="bottom"/>
            <w:tcBorders>
              <w:bottom w:val="single" w:sz="8" w:color="auto"/>
            </w:tcBorders>
            <w:shd w:val="clear" w:color="auto" w:fill="CCEEFF"/>
          </w:tcPr>
          <w:p>
            <w:pPr>
              <w:jc w:val="right"/>
              <w:ind w:right="1318"/>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17,857</w:t>
            </w:r>
          </w:p>
        </w:tc>
        <w:tc>
          <w:tcPr>
            <w:tcW w:w="14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1259"/>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17,857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81" w:lineRule="auto"/>
        <w:rPr>
          <w:sz w:val="20"/>
          <w:szCs w:val="20"/>
          <w:color w:val="auto"/>
        </w:rPr>
      </w:pPr>
      <w:r>
        <w:rPr>
          <w:rFonts w:ascii="Arial" w:cs="Arial" w:eastAsia="Arial" w:hAnsi="Arial"/>
          <w:sz w:val="14"/>
          <w:szCs w:val="14"/>
          <w:color w:val="auto"/>
        </w:rPr>
        <w:t>i. Represents the reclassification of Fund management and investment advisory and Fiduciary fee income, to align with historical reporting of Westwood. Westwood classifies these amounts as Asset-based advisory fees.</w:t>
      </w:r>
    </w:p>
    <w:p>
      <w:pPr>
        <w:spacing w:after="0" w:line="47" w:lineRule="exact"/>
        <w:rPr>
          <w:sz w:val="20"/>
          <w:szCs w:val="20"/>
          <w:color w:val="auto"/>
        </w:rPr>
      </w:pPr>
    </w:p>
    <w:p>
      <w:pPr>
        <w:ind w:left="160" w:hanging="155"/>
        <w:spacing w:after="0"/>
        <w:tabs>
          <w:tab w:leader="none" w:pos="1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reclassification of Travel expense, to align with historical reporting of Westwood. Westwood classifies travel expenses as Sales and Marketing expenses.</w:t>
      </w:r>
    </w:p>
    <w:p>
      <w:pPr>
        <w:spacing w:after="0" w:line="93" w:lineRule="exact"/>
        <w:rPr>
          <w:rFonts w:ascii="Arial" w:cs="Arial" w:eastAsia="Arial" w:hAnsi="Arial"/>
          <w:sz w:val="14"/>
          <w:szCs w:val="14"/>
          <w:color w:val="auto"/>
        </w:rPr>
      </w:pPr>
    </w:p>
    <w:p>
      <w:pPr>
        <w:ind w:right="40" w:firstLine="5"/>
        <w:spacing w:after="0" w:line="281" w:lineRule="auto"/>
        <w:tabs>
          <w:tab w:leader="none" w:pos="189"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reclassification of Depreciation and amortization, Occupancy expense, insurance expense, and state margin tax, to align with historical reporting of Westwood. Westwood classifies these expenses as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80"/>
          </w:cols>
          <w:pgMar w:left="300" w:top="214" w:right="319" w:bottom="1440" w:gutter="0" w:footer="0" w:header="0"/>
        </w:sectPr>
      </w:pPr>
    </w:p>
    <w:bookmarkStart w:id="67" w:name="page68"/>
    <w:bookmarkEnd w:id="67"/>
    <w:p>
      <w:pPr>
        <w:jc w:val="center"/>
        <w:spacing w:after="0"/>
        <w:rPr>
          <w:sz w:val="20"/>
          <w:szCs w:val="20"/>
          <w:color w:val="auto"/>
        </w:rPr>
      </w:pPr>
      <w:r>
        <w:rPr>
          <w:rFonts w:ascii="Arial" w:cs="Arial" w:eastAsia="Arial" w:hAnsi="Arial"/>
          <w:sz w:val="14"/>
          <w:szCs w:val="14"/>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420"/>
        <w:spacing w:after="0" w:line="379" w:lineRule="auto"/>
        <w:rPr>
          <w:sz w:val="20"/>
          <w:szCs w:val="20"/>
          <w:color w:val="auto"/>
        </w:rPr>
      </w:pPr>
      <w:r>
        <w:rPr>
          <w:rFonts w:ascii="Arial" w:cs="Arial" w:eastAsia="Arial" w:hAnsi="Arial"/>
          <w:sz w:val="14"/>
          <w:szCs w:val="14"/>
          <w:color w:val="auto"/>
        </w:rPr>
        <w:t xml:space="preserve">iv. Represents the reclassification of Interest and dividend income, to align with historical reporting of Westwood. Westwood classifies this income as Net investment income. </w:t>
      </w:r>
      <w:r>
        <w:rPr>
          <w:rFonts w:ascii="Arial" w:cs="Arial" w:eastAsia="Arial" w:hAnsi="Arial"/>
          <w:sz w:val="14"/>
          <w:szCs w:val="14"/>
          <w:b w:val="1"/>
          <w:bCs w:val="1"/>
          <w:color w:val="auto"/>
        </w:rPr>
        <w:t>Note 3. Other Transaction Accounting Adjustments</w:t>
      </w:r>
    </w:p>
    <w:p>
      <w:pPr>
        <w:spacing w:after="0" w:line="1" w:lineRule="exact"/>
        <w:rPr>
          <w:sz w:val="20"/>
          <w:szCs w:val="20"/>
          <w:color w:val="auto"/>
        </w:rPr>
      </w:pPr>
    </w:p>
    <w:p>
      <w:pPr>
        <w:ind w:firstLine="382"/>
        <w:spacing w:after="0" w:line="284" w:lineRule="auto"/>
        <w:rPr>
          <w:sz w:val="20"/>
          <w:szCs w:val="20"/>
          <w:color w:val="auto"/>
        </w:rPr>
      </w:pPr>
      <w:r>
        <w:rPr>
          <w:rFonts w:ascii="Arial" w:cs="Arial" w:eastAsia="Arial" w:hAnsi="Arial"/>
          <w:sz w:val="13"/>
          <w:szCs w:val="13"/>
          <w:color w:val="auto"/>
        </w:rPr>
        <w:t>In November 2022 the Company sold investments held in United States Treasury Bills with a fair value of $36.9 million for $36.7 million in cash, resulting in a loss on disposal of $0.2 million. The investments in Treasury Bills were classified as Investments, at fair value within the balance sheet. The Investment Liquidation was completed by the Company mainly to provide additional cash to fund the Acquisition. Adjustments related to the Investment Liquidation have been shown separately from the transaction adjustments. Adjustments to the Pro Forma Condensed Combined Balance Sheet reflect receipt of cash proceeds and liquidation of investments, with an impact to retained earnings for the realized losses on disposal of investments. Adjustments to the Pro Forma Condensed Combined Statement of Operations for the year ended December 31, 2021 reflect the realized loss on disposal of investments.</w:t>
      </w:r>
    </w:p>
    <w:p>
      <w:pPr>
        <w:spacing w:after="0" w:line="45" w:lineRule="exact"/>
        <w:rPr>
          <w:sz w:val="20"/>
          <w:szCs w:val="20"/>
          <w:color w:val="auto"/>
        </w:rPr>
      </w:pPr>
    </w:p>
    <w:p>
      <w:pPr>
        <w:ind w:right="5080"/>
        <w:spacing w:after="0" w:line="382" w:lineRule="auto"/>
        <w:rPr>
          <w:sz w:val="20"/>
          <w:szCs w:val="20"/>
          <w:color w:val="auto"/>
        </w:rPr>
      </w:pPr>
      <w:r>
        <w:rPr>
          <w:rFonts w:ascii="Arial" w:cs="Arial" w:eastAsia="Arial" w:hAnsi="Arial"/>
          <w:sz w:val="14"/>
          <w:szCs w:val="14"/>
          <w:b w:val="1"/>
          <w:bCs w:val="1"/>
          <w:color w:val="auto"/>
        </w:rPr>
        <w:t>Note 4. Calculation of Estimated Acquisition Consideration and Preliminary Purchase Price Allocation Estimated Acquisition Consideration</w:t>
      </w:r>
    </w:p>
    <w:p>
      <w:pPr>
        <w:spacing w:after="0" w:line="1"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The estimated Acquisition consideration for the purpose of this unaudited pro forma condensed combined financial information is estimated to be approximately $46.3 million, subject to adjustments for working capital, client consent agreements and contingent consideration. The following table summarizes the preliminary estimate of the acquisition consideration to be transferred as a result of the Acquisition: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jc w:val="right"/>
              <w:ind w:right="596"/>
              <w:spacing w:after="0"/>
              <w:rPr>
                <w:sz w:val="20"/>
                <w:szCs w:val="20"/>
                <w:color w:val="auto"/>
              </w:rPr>
            </w:pPr>
            <w:r>
              <w:rPr>
                <w:rFonts w:ascii="Arial" w:cs="Arial" w:eastAsia="Arial" w:hAnsi="Arial"/>
                <w:sz w:val="13"/>
                <w:szCs w:val="13"/>
                <w:b w:val="1"/>
                <w:bCs w:val="1"/>
                <w:color w:val="auto"/>
              </w:rPr>
              <w:t>(in thousands)</w:t>
            </w:r>
          </w:p>
        </w:tc>
      </w:tr>
      <w:tr>
        <w:trPr>
          <w:trHeight w:val="172"/>
        </w:trPr>
        <w:tc>
          <w:tcPr>
            <w:tcW w:w="9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Base Purchase Price - Cash</w:t>
            </w: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w:t>
            </w:r>
          </w:p>
        </w:tc>
      </w:tr>
      <w:tr>
        <w:trPr>
          <w:trHeight w:val="170"/>
        </w:trPr>
        <w:tc>
          <w:tcPr>
            <w:tcW w:w="91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Plus: Net Working Capital Adjustment </w:t>
            </w:r>
            <w:r>
              <w:rPr>
                <w:rFonts w:ascii="Arial" w:cs="Arial" w:eastAsia="Arial" w:hAnsi="Arial"/>
                <w:sz w:val="16"/>
                <w:szCs w:val="16"/>
                <w:color w:val="auto"/>
                <w:vertAlign w:val="superscript"/>
              </w:rPr>
              <w:t>(1)</w:t>
            </w:r>
          </w:p>
        </w:tc>
        <w:tc>
          <w:tcPr>
            <w:tcW w:w="3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1,662</w:t>
            </w:r>
          </w:p>
        </w:tc>
      </w:tr>
      <w:tr>
        <w:trPr>
          <w:trHeight w:val="170"/>
        </w:trPr>
        <w:tc>
          <w:tcPr>
            <w:tcW w:w="918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Less: Client Consent Adjustment </w:t>
            </w:r>
            <w:r>
              <w:rPr>
                <w:rFonts w:ascii="Arial" w:cs="Arial" w:eastAsia="Arial" w:hAnsi="Arial"/>
                <w:sz w:val="16"/>
                <w:szCs w:val="16"/>
                <w:color w:val="auto"/>
                <w:vertAlign w:val="superscript"/>
              </w:rPr>
              <w:t>(2)</w:t>
            </w:r>
          </w:p>
        </w:tc>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(3,293)</w:t>
            </w:r>
          </w:p>
        </w:tc>
      </w:tr>
      <w:tr>
        <w:trPr>
          <w:trHeight w:val="170"/>
        </w:trPr>
        <w:tc>
          <w:tcPr>
            <w:tcW w:w="918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 xml:space="preserve">Less: Due For Transaction Expenses </w:t>
            </w:r>
            <w:r>
              <w:rPr>
                <w:rFonts w:ascii="Arial" w:cs="Arial" w:eastAsia="Arial" w:hAnsi="Arial"/>
                <w:sz w:val="16"/>
                <w:szCs w:val="16"/>
                <w:color w:val="auto"/>
                <w:vertAlign w:val="superscript"/>
              </w:rPr>
              <w:t>(3)</w:t>
            </w: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r>
      <w:tr>
        <w:trPr>
          <w:trHeight w:val="160"/>
        </w:trPr>
        <w:tc>
          <w:tcPr>
            <w:tcW w:w="9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Cash Consideration:</w:t>
            </w:r>
          </w:p>
        </w:tc>
        <w:tc>
          <w:tcPr>
            <w:tcW w:w="36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33,277</w:t>
            </w:r>
          </w:p>
        </w:tc>
      </w:tr>
      <w:tr>
        <w:trPr>
          <w:trHeight w:val="170"/>
        </w:trPr>
        <w:tc>
          <w:tcPr>
            <w:tcW w:w="91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Plus: Revenue Retention Payments </w:t>
            </w:r>
            <w:r>
              <w:rPr>
                <w:rFonts w:ascii="Arial" w:cs="Arial" w:eastAsia="Arial" w:hAnsi="Arial"/>
                <w:sz w:val="16"/>
                <w:szCs w:val="16"/>
                <w:color w:val="auto"/>
                <w:vertAlign w:val="superscript"/>
              </w:rPr>
              <w:t>(4)</w:t>
            </w:r>
          </w:p>
        </w:tc>
        <w:tc>
          <w:tcPr>
            <w:tcW w:w="3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10,637</w:t>
            </w:r>
          </w:p>
        </w:tc>
      </w:tr>
      <w:tr>
        <w:trPr>
          <w:trHeight w:val="170"/>
        </w:trPr>
        <w:tc>
          <w:tcPr>
            <w:tcW w:w="918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Plus: Growth Earnout Period Payments </w:t>
            </w:r>
            <w:r>
              <w:rPr>
                <w:rFonts w:ascii="Arial" w:cs="Arial" w:eastAsia="Arial" w:hAnsi="Arial"/>
                <w:sz w:val="16"/>
                <w:szCs w:val="16"/>
                <w:color w:val="auto"/>
                <w:vertAlign w:val="superscript"/>
              </w:rPr>
              <w:t>(5)</w:t>
            </w:r>
          </w:p>
        </w:tc>
        <w:tc>
          <w:tcPr>
            <w:tcW w:w="36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2,362</w:t>
            </w:r>
          </w:p>
        </w:tc>
      </w:tr>
      <w:tr>
        <w:trPr>
          <w:trHeight w:val="160"/>
        </w:trPr>
        <w:tc>
          <w:tcPr>
            <w:tcW w:w="9180" w:type="dxa"/>
            <w:vAlign w:val="bottom"/>
          </w:tcPr>
          <w:p>
            <w:pPr>
              <w:ind w:left="100"/>
              <w:spacing w:after="0"/>
              <w:rPr>
                <w:sz w:val="20"/>
                <w:szCs w:val="20"/>
                <w:color w:val="auto"/>
              </w:rPr>
            </w:pPr>
            <w:r>
              <w:rPr>
                <w:rFonts w:ascii="Arial" w:cs="Arial" w:eastAsia="Arial" w:hAnsi="Arial"/>
                <w:sz w:val="13"/>
                <w:szCs w:val="13"/>
                <w:b w:val="1"/>
                <w:bCs w:val="1"/>
                <w:color w:val="auto"/>
              </w:rPr>
              <w:t>Total Estimated Consideration:</w:t>
            </w: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46,276</w:t>
            </w:r>
          </w:p>
        </w:tc>
      </w:tr>
      <w:tr>
        <w:trPr>
          <w:trHeight w:val="20"/>
        </w:trPr>
        <w:tc>
          <w:tcPr>
            <w:tcW w:w="9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5"/>
        <w:spacing w:after="0" w:line="297" w:lineRule="auto"/>
        <w:tabs>
          <w:tab w:leader="none" w:pos="2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estimated consideration includes an adjustment based on net working capital of Salient Partners. The net working capital adjustment is determined by calculation of the net working capital of Salient Partners at Acquisition close date, less a target net working capital amount of $250.0 thousand. The adjustment above of $1.7 million is based on the available information at the time of the analysis. The net working capital adjustment will increase the cash amount of the base purchase price and is not expected to materially change from the estimated amount.</w:t>
      </w:r>
    </w:p>
    <w:p>
      <w:pPr>
        <w:spacing w:after="0" w:line="39" w:lineRule="exact"/>
        <w:rPr>
          <w:rFonts w:ascii="Arial" w:cs="Arial" w:eastAsia="Arial" w:hAnsi="Arial"/>
          <w:sz w:val="13"/>
          <w:szCs w:val="13"/>
          <w:color w:val="auto"/>
        </w:rPr>
      </w:pPr>
    </w:p>
    <w:p>
      <w:pPr>
        <w:ind w:right="40" w:firstLine="5"/>
        <w:spacing w:after="0" w:line="260" w:lineRule="auto"/>
        <w:tabs>
          <w:tab w:leader="none" w:pos="2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Client Consent Adjustment is an adjustment of the base purchase price based off a mutually agreed upon revenue run rate metric expressed as a percentage. The revenue run rate metric is the closing revenue run rate divided by a contractually stipulated base revenue run rate. No adjustment is made to the base purchase price if the revenue run rate metric is greater than 95%. If the revenue run rate metric is less than 95%, an adjustment is made to the base purchase price. Based off the best estimate at the time of the analysis, the revenue run rate metric was estimated as approximately 91%. The end adjustment resulting from this calculated as 100% less the 91%, multiplied by the base purchase price of $35.0 million. This amount is estimated to be $3.3 million and is a reduction to the cash purchase price.</w:t>
      </w:r>
    </w:p>
    <w:p>
      <w:pPr>
        <w:spacing w:after="0" w:line="61" w:lineRule="exact"/>
        <w:rPr>
          <w:rFonts w:ascii="Arial" w:cs="Arial" w:eastAsia="Arial" w:hAnsi="Arial"/>
          <w:sz w:val="14"/>
          <w:szCs w:val="14"/>
          <w:color w:val="auto"/>
        </w:rPr>
      </w:pPr>
    </w:p>
    <w:p>
      <w:pPr>
        <w:ind w:left="200" w:hanging="195"/>
        <w:spacing w:after="0"/>
        <w:tabs>
          <w:tab w:leader="none" w:pos="2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Due For Transaction Expense is comprised of $92.0 thousand of transaction expenses payable by Salient Partners.</w:t>
      </w:r>
    </w:p>
    <w:p>
      <w:pPr>
        <w:spacing w:after="0" w:line="93" w:lineRule="exact"/>
        <w:rPr>
          <w:rFonts w:ascii="Arial" w:cs="Arial" w:eastAsia="Arial" w:hAnsi="Arial"/>
          <w:sz w:val="14"/>
          <w:szCs w:val="14"/>
          <w:color w:val="auto"/>
        </w:rPr>
      </w:pPr>
    </w:p>
    <w:p>
      <w:pPr>
        <w:ind w:right="20" w:firstLine="5"/>
        <w:spacing w:after="0" w:line="262" w:lineRule="auto"/>
        <w:tabs>
          <w:tab w:leader="none" w:pos="2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Acquisition contains contingent consideration related to Revenue Retention Payments. This has a maximum payment amount of $15.0 million. The gross amount is based on the retention of a minimum level of net revenue (as calculated under the Purchase Agreement) of the Business in the 15, 18, 21 and 24 months following the close of the Acquisition. The revenue retention payment if any, is expected to be paid using cash on hand. The estimated fair value of $10.6 million is included in total estimated consideration, and is based on the best estimate at the time of the analysis utilizing an income based approach, specifically a probability-weighted discounted cash flow method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80"/>
          </w:cols>
          <w:pgMar w:left="300" w:top="214" w:right="319" w:bottom="1440" w:gutter="0" w:footer="0" w:header="0"/>
        </w:sectPr>
      </w:pPr>
    </w:p>
    <w:bookmarkStart w:id="68" w:name="page69"/>
    <w:bookmarkEnd w:id="68"/>
    <w:p>
      <w:pPr>
        <w:jc w:val="center"/>
        <w:ind w:right="-79"/>
        <w:spacing w:after="0"/>
        <w:rPr>
          <w:sz w:val="20"/>
          <w:szCs w:val="20"/>
          <w:color w:val="auto"/>
        </w:rPr>
      </w:pPr>
      <w:r>
        <w:rPr>
          <w:rFonts w:ascii="Arial" w:cs="Arial" w:eastAsia="Arial" w:hAnsi="Arial"/>
          <w:sz w:val="14"/>
          <w:szCs w:val="14"/>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100"/>
        <w:spacing w:after="0" w:line="368" w:lineRule="auto"/>
        <w:rPr>
          <w:sz w:val="20"/>
          <w:szCs w:val="20"/>
          <w:color w:val="auto"/>
        </w:rPr>
      </w:pPr>
      <w:r>
        <w:rPr>
          <w:rFonts w:ascii="Arial" w:cs="Arial" w:eastAsia="Arial" w:hAnsi="Arial"/>
          <w:sz w:val="12"/>
          <w:szCs w:val="12"/>
          <w:color w:val="auto"/>
        </w:rPr>
        <w:t>capture the uncertainty in the future payments related to uncertainty of the condition underlying the earn out being met. This amount is an increase to Total Estimated Consideration. A hypothetical 10% change in the valuation of the Revenue Retention Payment would result in a change to Total Estimated Consideration of approximately $1.0 million, with a corresponding change in goodwill.</w:t>
      </w:r>
    </w:p>
    <w:p>
      <w:pPr>
        <w:spacing w:after="0" w:line="1" w:lineRule="exact"/>
        <w:rPr>
          <w:sz w:val="20"/>
          <w:szCs w:val="20"/>
          <w:color w:val="auto"/>
        </w:rPr>
      </w:pPr>
    </w:p>
    <w:p>
      <w:pPr>
        <w:ind w:firstLine="5"/>
        <w:spacing w:after="0" w:line="309" w:lineRule="auto"/>
        <w:tabs>
          <w:tab w:leader="none" w:pos="2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Acquisition contains contingent consideration related to Growth Earnout Period payments. The contingent consideration has a maximum payment amount of $10.0 million. The growth earnout payment is based on the growth in net revenue (as calculated under the Purchase Agreement) of the Business in the second and third years following the close of the Acquisition. The growth earnout payment, if any, would be paid in shares of the Company’s common stock in amount equivalent to the dollar value of the earn out. The estimated fair value of $2.4 million is included in total estimated consideration, and is based on the best estimate at the time of the analysis utilizing income based approach, specifically a probability-weighted discounted cash flow method to capture uncertainty in the future payments related to uncertainty of the condition underlying the earn out being met. This amount is an increase to Total Estimated Consideration. A hypothetical 10% change in the valuation of the Growth Earnout Period payments would result in a change to Total Estimated Consideration of approximately $0.2 million, with a corresponding change in goodwill.</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Preliminary Purchase Price Allocation</w:t>
      </w:r>
    </w:p>
    <w:p>
      <w:pPr>
        <w:spacing w:after="0" w:line="98" w:lineRule="exact"/>
        <w:rPr>
          <w:sz w:val="20"/>
          <w:szCs w:val="20"/>
          <w:color w:val="auto"/>
        </w:rPr>
      </w:pPr>
    </w:p>
    <w:p>
      <w:pPr>
        <w:ind w:right="40" w:firstLine="382"/>
        <w:spacing w:after="0" w:line="288" w:lineRule="auto"/>
        <w:rPr>
          <w:sz w:val="20"/>
          <w:szCs w:val="20"/>
          <w:color w:val="auto"/>
        </w:rPr>
      </w:pPr>
      <w:r>
        <w:rPr>
          <w:rFonts w:ascii="Arial" w:cs="Arial" w:eastAsia="Arial" w:hAnsi="Arial"/>
          <w:sz w:val="13"/>
          <w:szCs w:val="13"/>
          <w:color w:val="auto"/>
        </w:rPr>
        <w:t>Under the business combination method of accounting, the identifiable assets acquired, and liabilities assumed of Salient Partners will be recognized and measured at fair value as of the closing date of the Acquisition and added to those of Westwood. The determination of fair value used in the transaction adjustments presented herein are preliminary and based on management estimates of the fair value and useful lives of the assets acquired and liabilities assumed, and may be subject to change if additional information is obtained. The costs of finite-lived intangible assets are amortized through expense over their estimated lives. The actual allocations may differ from the transaction accounting adjustments presented.</w:t>
      </w:r>
    </w:p>
    <w:p>
      <w:pPr>
        <w:spacing w:after="0" w:line="46"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The following table sets forth a preliminary allocation of the estimated acquisition consideration to the identifiable tangible and intangible assets acquired and liabilities assumed of Salient Partners (refer to Note 5(A) for assets not acquired and liabilities not assumed) based on Salient Partner’s unaudited condensed consolidated balance sheet as of September 30, 2022, with the excess recorded as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00"/>
          </w:cols>
          <w:pgMar w:left="300" w:top="214" w:right="399" w:bottom="1440" w:gutter="0" w:footer="0" w:header="0"/>
        </w:sectPr>
      </w:pPr>
    </w:p>
    <w:bookmarkStart w:id="69" w:name="page70"/>
    <w:bookmarkEnd w:id="69"/>
    <w:p>
      <w:pPr>
        <w:jc w:val="center"/>
        <w:spacing w:after="0"/>
        <w:rPr>
          <w:sz w:val="20"/>
          <w:szCs w:val="20"/>
          <w:color w:val="auto"/>
        </w:rPr>
      </w:pPr>
      <w:r>
        <w:rPr>
          <w:rFonts w:ascii="Arial" w:cs="Arial" w:eastAsia="Arial" w:hAnsi="Arial"/>
          <w:sz w:val="14"/>
          <w:szCs w:val="14"/>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jc w:val="right"/>
              <w:ind w:right="596"/>
              <w:spacing w:after="0"/>
              <w:rPr>
                <w:sz w:val="20"/>
                <w:szCs w:val="20"/>
                <w:color w:val="auto"/>
              </w:rPr>
            </w:pPr>
            <w:r>
              <w:rPr>
                <w:rFonts w:ascii="Arial" w:cs="Arial" w:eastAsia="Arial" w:hAnsi="Arial"/>
                <w:sz w:val="13"/>
                <w:szCs w:val="13"/>
                <w:b w:val="1"/>
                <w:bCs w:val="1"/>
                <w:color w:val="auto"/>
              </w:rPr>
              <w:t>(in thousands)</w:t>
            </w:r>
          </w:p>
        </w:tc>
      </w:tr>
      <w:tr>
        <w:trPr>
          <w:trHeight w:val="172"/>
        </w:trPr>
        <w:tc>
          <w:tcPr>
            <w:tcW w:w="9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consideration</w:t>
            </w: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46,276</w:t>
            </w:r>
          </w:p>
        </w:tc>
      </w:tr>
      <w:tr>
        <w:trPr>
          <w:trHeight w:val="212"/>
        </w:trPr>
        <w:tc>
          <w:tcPr>
            <w:tcW w:w="9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70"/>
        </w:trPr>
        <w:tc>
          <w:tcPr>
            <w:tcW w:w="9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168"/>
        </w:trPr>
        <w:tc>
          <w:tcPr>
            <w:tcW w:w="918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2"/>
        </w:trPr>
        <w:tc>
          <w:tcPr>
            <w:tcW w:w="9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w:t>
            </w:r>
          </w:p>
        </w:tc>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3,294</w:t>
            </w:r>
          </w:p>
        </w:tc>
      </w:tr>
      <w:tr>
        <w:trPr>
          <w:trHeight w:val="168"/>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current assets</w:t>
            </w: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1,034</w:t>
            </w:r>
          </w:p>
        </w:tc>
      </w:tr>
      <w:tr>
        <w:trPr>
          <w:trHeight w:val="163"/>
        </w:trPr>
        <w:tc>
          <w:tcPr>
            <w:tcW w:w="9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assets</w:t>
            </w:r>
          </w:p>
        </w:tc>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4,328</w:t>
            </w:r>
          </w:p>
        </w:tc>
      </w:tr>
      <w:tr>
        <w:trPr>
          <w:trHeight w:val="170"/>
        </w:trPr>
        <w:tc>
          <w:tcPr>
            <w:tcW w:w="9180" w:type="dxa"/>
            <w:vAlign w:val="bottom"/>
          </w:tcPr>
          <w:p>
            <w:pPr>
              <w:ind w:left="20"/>
              <w:spacing w:after="0" w:line="170" w:lineRule="exact"/>
              <w:rPr>
                <w:sz w:val="20"/>
                <w:szCs w:val="20"/>
                <w:color w:val="auto"/>
              </w:rPr>
            </w:pPr>
            <w:r>
              <w:rPr>
                <w:rFonts w:ascii="Arial" w:cs="Arial" w:eastAsia="Arial" w:hAnsi="Arial"/>
                <w:sz w:val="13"/>
                <w:szCs w:val="13"/>
                <w:color w:val="auto"/>
              </w:rPr>
              <w:t>Investments</w:t>
            </w:r>
            <w:r>
              <w:rPr>
                <w:rFonts w:ascii="Arial" w:cs="Arial" w:eastAsia="Arial" w:hAnsi="Arial"/>
                <w:sz w:val="16"/>
                <w:szCs w:val="16"/>
                <w:color w:val="auto"/>
                <w:vertAlign w:val="superscript"/>
              </w:rPr>
              <w:t>(1)</w:t>
            </w:r>
          </w:p>
        </w:tc>
        <w:tc>
          <w:tcPr>
            <w:tcW w:w="3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6,600</w:t>
            </w:r>
          </w:p>
        </w:tc>
      </w:tr>
      <w:tr>
        <w:trPr>
          <w:trHeight w:val="170"/>
        </w:trPr>
        <w:tc>
          <w:tcPr>
            <w:tcW w:w="9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investments at fair value</w:t>
            </w:r>
          </w:p>
        </w:tc>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w:t>
            </w:r>
          </w:p>
        </w:tc>
      </w:tr>
      <w:tr>
        <w:trPr>
          <w:trHeight w:val="170"/>
        </w:trPr>
        <w:tc>
          <w:tcPr>
            <w:tcW w:w="9180" w:type="dxa"/>
            <w:vAlign w:val="bottom"/>
          </w:tcPr>
          <w:p>
            <w:pPr>
              <w:ind w:left="20"/>
              <w:spacing w:after="0" w:line="170" w:lineRule="exact"/>
              <w:rPr>
                <w:sz w:val="20"/>
                <w:szCs w:val="20"/>
                <w:color w:val="auto"/>
              </w:rPr>
            </w:pPr>
            <w:r>
              <w:rPr>
                <w:rFonts w:ascii="Arial" w:cs="Arial" w:eastAsia="Arial" w:hAnsi="Arial"/>
                <w:sz w:val="13"/>
                <w:szCs w:val="13"/>
                <w:color w:val="auto"/>
              </w:rPr>
              <w:t>Property and equipment, net of accumulated depreciation</w:t>
            </w:r>
            <w:r>
              <w:rPr>
                <w:rFonts w:ascii="Arial" w:cs="Arial" w:eastAsia="Arial" w:hAnsi="Arial"/>
                <w:sz w:val="16"/>
                <w:szCs w:val="16"/>
                <w:color w:val="auto"/>
                <w:vertAlign w:val="superscript"/>
              </w:rPr>
              <w:t>(2)</w:t>
            </w:r>
          </w:p>
        </w:tc>
        <w:tc>
          <w:tcPr>
            <w:tcW w:w="3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88</w:t>
            </w:r>
          </w:p>
        </w:tc>
      </w:tr>
      <w:tr>
        <w:trPr>
          <w:trHeight w:val="170"/>
        </w:trPr>
        <w:tc>
          <w:tcPr>
            <w:tcW w:w="9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 net</w:t>
            </w:r>
          </w:p>
        </w:tc>
        <w:tc>
          <w:tcPr>
            <w:tcW w:w="36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19,300</w:t>
            </w:r>
          </w:p>
        </w:tc>
      </w:tr>
      <w:tr>
        <w:trPr>
          <w:trHeight w:val="158"/>
        </w:trPr>
        <w:tc>
          <w:tcPr>
            <w:tcW w:w="918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740" w:type="dxa"/>
            <w:vAlign w:val="bottom"/>
          </w:tcPr>
          <w:p>
            <w:pPr>
              <w:jc w:val="right"/>
              <w:spacing w:after="0"/>
              <w:rPr>
                <w:sz w:val="20"/>
                <w:szCs w:val="20"/>
                <w:color w:val="auto"/>
              </w:rPr>
            </w:pPr>
            <w:r>
              <w:rPr>
                <w:rFonts w:ascii="Arial" w:cs="Arial" w:eastAsia="Arial" w:hAnsi="Arial"/>
                <w:sz w:val="13"/>
                <w:szCs w:val="13"/>
                <w:color w:val="auto"/>
              </w:rPr>
              <w:t>30,635</w:t>
            </w:r>
          </w:p>
        </w:tc>
      </w:tr>
      <w:tr>
        <w:trPr>
          <w:trHeight w:val="214"/>
        </w:trPr>
        <w:tc>
          <w:tcPr>
            <w:tcW w:w="9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68"/>
        </w:trPr>
        <w:tc>
          <w:tcPr>
            <w:tcW w:w="918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2"/>
        </w:trPr>
        <w:tc>
          <w:tcPr>
            <w:tcW w:w="9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168"/>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Accounts payable and accrued liabilities</w:t>
            </w: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5,733</w:t>
            </w:r>
          </w:p>
        </w:tc>
      </w:tr>
      <w:tr>
        <w:trPr>
          <w:trHeight w:val="163"/>
        </w:trPr>
        <w:tc>
          <w:tcPr>
            <w:tcW w:w="9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5,733</w:t>
            </w:r>
          </w:p>
        </w:tc>
      </w:tr>
      <w:tr>
        <w:trPr>
          <w:trHeight w:val="212"/>
        </w:trPr>
        <w:tc>
          <w:tcPr>
            <w:tcW w:w="9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70"/>
        </w:trPr>
        <w:tc>
          <w:tcPr>
            <w:tcW w:w="9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Less: Net Assets</w:t>
            </w: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24,902</w:t>
            </w:r>
          </w:p>
        </w:tc>
      </w:tr>
      <w:tr>
        <w:trPr>
          <w:trHeight w:val="212"/>
        </w:trPr>
        <w:tc>
          <w:tcPr>
            <w:tcW w:w="9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70"/>
        </w:trPr>
        <w:tc>
          <w:tcPr>
            <w:tcW w:w="9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Goodwill</w:t>
            </w: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21,374</w:t>
            </w:r>
          </w:p>
        </w:tc>
      </w:tr>
    </w:tbl>
    <w:p>
      <w:pPr>
        <w:spacing w:after="0" w:line="148" w:lineRule="exact"/>
        <w:rPr>
          <w:sz w:val="20"/>
          <w:szCs w:val="20"/>
          <w:color w:val="auto"/>
        </w:rPr>
      </w:pPr>
    </w:p>
    <w:p>
      <w:pPr>
        <w:ind w:right="100" w:firstLine="5"/>
        <w:spacing w:after="0" w:line="281" w:lineRule="auto"/>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Investments is comprised of historical equity method investments held by Salient Partners. The book value was adjusted to fair value based on the results of the valuation. These investments will continue to be accounted for as equity method investments by Westwood.</w:t>
      </w:r>
    </w:p>
    <w:p>
      <w:pPr>
        <w:spacing w:after="0" w:line="47" w:lineRule="exact"/>
        <w:rPr>
          <w:rFonts w:ascii="Arial" w:cs="Arial" w:eastAsia="Arial" w:hAnsi="Arial"/>
          <w:sz w:val="14"/>
          <w:szCs w:val="14"/>
          <w:color w:val="auto"/>
        </w:rPr>
      </w:pPr>
    </w:p>
    <w:p>
      <w:pPr>
        <w:ind w:left="200" w:hanging="195"/>
        <w:spacing w:after="0"/>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Property and equipment, net of accumulated depreciation approximate fair value, thus no adjustment was recorded to the carrying value of the assets.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Intangible Assets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Preliminary identifiable intangible assets in the unaudited pro forma condensed combined financial information consist of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00" w:type="dxa"/>
            <w:vAlign w:val="bottom"/>
          </w:tcPr>
          <w:p>
            <w:pPr>
              <w:spacing w:after="0"/>
              <w:rPr>
                <w:sz w:val="12"/>
                <w:szCs w:val="12"/>
                <w:color w:val="auto"/>
              </w:rPr>
            </w:pPr>
          </w:p>
        </w:tc>
        <w:tc>
          <w:tcPr>
            <w:tcW w:w="1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Preliminary Estimated Fair</w:t>
            </w:r>
          </w:p>
        </w:tc>
        <w:tc>
          <w:tcPr>
            <w:tcW w:w="1960" w:type="dxa"/>
            <w:vAlign w:val="bottom"/>
            <w:vMerge w:val="restart"/>
          </w:tcPr>
          <w:p>
            <w:pPr>
              <w:jc w:val="right"/>
              <w:ind w:right="256"/>
              <w:spacing w:after="0"/>
              <w:rPr>
                <w:sz w:val="20"/>
                <w:szCs w:val="20"/>
                <w:color w:val="auto"/>
              </w:rPr>
            </w:pPr>
            <w:r>
              <w:rPr>
                <w:rFonts w:ascii="Arial" w:cs="Arial" w:eastAsia="Arial" w:hAnsi="Arial"/>
                <w:sz w:val="13"/>
                <w:szCs w:val="13"/>
                <w:b w:val="1"/>
                <w:bCs w:val="1"/>
                <w:color w:val="auto"/>
              </w:rPr>
              <w:t>Estimated Useful Life</w:t>
            </w:r>
          </w:p>
        </w:tc>
        <w:tc>
          <w:tcPr>
            <w:tcW w:w="0" w:type="dxa"/>
            <w:vAlign w:val="bottom"/>
          </w:tcPr>
          <w:p>
            <w:pPr>
              <w:spacing w:after="0"/>
              <w:rPr>
                <w:sz w:val="1"/>
                <w:szCs w:val="1"/>
                <w:color w:val="auto"/>
              </w:rPr>
            </w:pPr>
          </w:p>
        </w:tc>
      </w:tr>
      <w:tr>
        <w:trPr>
          <w:trHeight w:val="165"/>
        </w:trPr>
        <w:tc>
          <w:tcPr>
            <w:tcW w:w="7500" w:type="dxa"/>
            <w:vAlign w:val="bottom"/>
          </w:tcPr>
          <w:p>
            <w:pPr>
              <w:spacing w:after="0"/>
              <w:rPr>
                <w:sz w:val="14"/>
                <w:szCs w:val="14"/>
                <w:color w:val="auto"/>
              </w:rPr>
            </w:pPr>
          </w:p>
        </w:tc>
        <w:tc>
          <w:tcPr>
            <w:tcW w:w="1360" w:type="dxa"/>
            <w:vAlign w:val="bottom"/>
          </w:tcPr>
          <w:p>
            <w:pPr>
              <w:jc w:val="center"/>
              <w:ind w:left="396"/>
              <w:spacing w:after="0"/>
              <w:rPr>
                <w:sz w:val="20"/>
                <w:szCs w:val="20"/>
                <w:color w:val="auto"/>
              </w:rPr>
            </w:pPr>
            <w:r>
              <w:rPr>
                <w:rFonts w:ascii="Arial" w:cs="Arial" w:eastAsia="Arial" w:hAnsi="Arial"/>
                <w:sz w:val="13"/>
                <w:szCs w:val="13"/>
                <w:b w:val="1"/>
                <w:bCs w:val="1"/>
                <w:color w:val="auto"/>
                <w:w w:val="86"/>
              </w:rPr>
              <w:t>Value</w:t>
            </w:r>
          </w:p>
        </w:tc>
        <w:tc>
          <w:tcPr>
            <w:tcW w:w="46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500" w:type="dxa"/>
            <w:vAlign w:val="bottom"/>
          </w:tcPr>
          <w:p>
            <w:pPr>
              <w:spacing w:after="0"/>
              <w:rPr>
                <w:sz w:val="14"/>
                <w:szCs w:val="14"/>
                <w:color w:val="auto"/>
              </w:rPr>
            </w:pPr>
          </w:p>
        </w:tc>
        <w:tc>
          <w:tcPr>
            <w:tcW w:w="1360" w:type="dxa"/>
            <w:vAlign w:val="bottom"/>
          </w:tcPr>
          <w:p>
            <w:pPr>
              <w:jc w:val="center"/>
              <w:ind w:left="396"/>
              <w:spacing w:after="0"/>
              <w:rPr>
                <w:sz w:val="20"/>
                <w:szCs w:val="20"/>
                <w:color w:val="auto"/>
              </w:rPr>
            </w:pPr>
            <w:r>
              <w:rPr>
                <w:rFonts w:ascii="Arial" w:cs="Arial" w:eastAsia="Arial" w:hAnsi="Arial"/>
                <w:sz w:val="13"/>
                <w:szCs w:val="13"/>
                <w:b w:val="1"/>
                <w:bCs w:val="1"/>
                <w:color w:val="auto"/>
                <w:w w:val="87"/>
              </w:rPr>
              <w:t>(in thousands)</w:t>
            </w:r>
          </w:p>
        </w:tc>
        <w:tc>
          <w:tcPr>
            <w:tcW w:w="460" w:type="dxa"/>
            <w:vAlign w:val="bottom"/>
          </w:tcPr>
          <w:p>
            <w:pPr>
              <w:spacing w:after="0"/>
              <w:rPr>
                <w:sz w:val="14"/>
                <w:szCs w:val="14"/>
                <w:color w:val="auto"/>
              </w:rPr>
            </w:pPr>
          </w:p>
        </w:tc>
        <w:tc>
          <w:tcPr>
            <w:tcW w:w="1960" w:type="dxa"/>
            <w:vAlign w:val="bottom"/>
          </w:tcPr>
          <w:p>
            <w:pPr>
              <w:jc w:val="right"/>
              <w:ind w:right="596"/>
              <w:spacing w:after="0"/>
              <w:rPr>
                <w:sz w:val="20"/>
                <w:szCs w:val="20"/>
                <w:color w:val="auto"/>
              </w:rPr>
            </w:pPr>
            <w:r>
              <w:rPr>
                <w:rFonts w:ascii="Arial" w:cs="Arial" w:eastAsia="Arial" w:hAnsi="Arial"/>
                <w:sz w:val="13"/>
                <w:szCs w:val="13"/>
                <w:b w:val="1"/>
                <w:bCs w:val="1"/>
                <w:color w:val="auto"/>
              </w:rPr>
              <w:t>(in years)</w:t>
            </w:r>
          </w:p>
        </w:tc>
        <w:tc>
          <w:tcPr>
            <w:tcW w:w="0" w:type="dxa"/>
            <w:vAlign w:val="bottom"/>
          </w:tcPr>
          <w:p>
            <w:pPr>
              <w:spacing w:after="0"/>
              <w:rPr>
                <w:sz w:val="1"/>
                <w:szCs w:val="1"/>
                <w:color w:val="auto"/>
              </w:rPr>
            </w:pPr>
          </w:p>
        </w:tc>
      </w:tr>
      <w:tr>
        <w:trPr>
          <w:trHeight w:val="172"/>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Client relationships</w:t>
            </w:r>
          </w:p>
        </w:tc>
        <w:tc>
          <w:tcPr>
            <w:tcW w:w="1360" w:type="dxa"/>
            <w:vAlign w:val="bottom"/>
            <w:shd w:val="clear" w:color="auto" w:fill="CCEEFF"/>
          </w:tcPr>
          <w:p>
            <w:pPr>
              <w:jc w:val="right"/>
              <w:ind w:right="121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14,400</w:t>
            </w:r>
          </w:p>
        </w:tc>
        <w:tc>
          <w:tcPr>
            <w:tcW w:w="1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8"/>
        </w:trPr>
        <w:tc>
          <w:tcPr>
            <w:tcW w:w="7500" w:type="dxa"/>
            <w:vAlign w:val="bottom"/>
          </w:tcPr>
          <w:p>
            <w:pPr>
              <w:ind w:left="20"/>
              <w:spacing w:after="0"/>
              <w:rPr>
                <w:sz w:val="20"/>
                <w:szCs w:val="20"/>
                <w:color w:val="auto"/>
              </w:rPr>
            </w:pPr>
            <w:r>
              <w:rPr>
                <w:rFonts w:ascii="Arial" w:cs="Arial" w:eastAsia="Arial" w:hAnsi="Arial"/>
                <w:sz w:val="13"/>
                <w:szCs w:val="13"/>
                <w:color w:val="auto"/>
              </w:rPr>
              <w:t>Trade name</w:t>
            </w:r>
          </w:p>
        </w:tc>
        <w:tc>
          <w:tcPr>
            <w:tcW w:w="1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3,800</w:t>
            </w:r>
          </w:p>
        </w:tc>
        <w:tc>
          <w:tcPr>
            <w:tcW w:w="196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0"/>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Non-compete agreements</w:t>
            </w:r>
          </w:p>
        </w:tc>
        <w:tc>
          <w:tcPr>
            <w:tcW w:w="13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1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3"/>
        </w:trPr>
        <w:tc>
          <w:tcPr>
            <w:tcW w:w="7500" w:type="dxa"/>
            <w:vAlign w:val="bottom"/>
          </w:tcPr>
          <w:p>
            <w:pPr>
              <w:ind w:left="20"/>
              <w:spacing w:after="0"/>
              <w:rPr>
                <w:sz w:val="20"/>
                <w:szCs w:val="20"/>
                <w:color w:val="auto"/>
              </w:rPr>
            </w:pPr>
            <w:r>
              <w:rPr>
                <w:rFonts w:ascii="Arial" w:cs="Arial" w:eastAsia="Arial" w:hAnsi="Arial"/>
                <w:sz w:val="13"/>
                <w:szCs w:val="13"/>
                <w:color w:val="auto"/>
              </w:rPr>
              <w:t>Total</w:t>
            </w:r>
          </w:p>
        </w:tc>
        <w:tc>
          <w:tcPr>
            <w:tcW w:w="1360" w:type="dxa"/>
            <w:vAlign w:val="bottom"/>
            <w:tcBorders>
              <w:bottom w:val="single" w:sz="8" w:color="auto"/>
            </w:tcBorders>
          </w:tcPr>
          <w:p>
            <w:pPr>
              <w:jc w:val="right"/>
              <w:ind w:right="1216"/>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19,300</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right="300" w:firstLine="382"/>
        <w:spacing w:after="0" w:line="284" w:lineRule="auto"/>
        <w:rPr>
          <w:sz w:val="20"/>
          <w:szCs w:val="20"/>
          <w:color w:val="auto"/>
        </w:rPr>
      </w:pPr>
      <w:r>
        <w:rPr>
          <w:rFonts w:ascii="Arial" w:cs="Arial" w:eastAsia="Arial" w:hAnsi="Arial"/>
          <w:sz w:val="13"/>
          <w:szCs w:val="13"/>
          <w:color w:val="auto"/>
        </w:rPr>
        <w:t>The estimated fair values and useful lives of identifiable intangible assets are preliminary and have been performed based on the best information available at the time of this analysis. As discussed above, the amount that will ultimately be allocated to identifiable intangible assets and the related amount of straight-line amortization, may differ materially from this preliminary allocation. Preliminary intangible assets include non-compete agreements entered into with Salient Partners employees in conjunction with the Acquisition. The non-compete agreements have an estimated fair value of $1.1 million. Although non-compete agreements with employees of a target may be accounted for as transactions separate from a business combination, management has determined the value of such assets to be immaterial and expects the accounting treatment to be similar if accounted for separate from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80"/>
          </w:cols>
          <w:pgMar w:left="300" w:top="214" w:right="319" w:bottom="1440" w:gutter="0" w:footer="0" w:header="0"/>
        </w:sectPr>
      </w:pPr>
    </w:p>
    <w:bookmarkStart w:id="70" w:name="page71"/>
    <w:bookmarkEnd w:id="70"/>
    <w:p>
      <w:pPr>
        <w:jc w:val="center"/>
        <w:spacing w:after="0"/>
        <w:rPr>
          <w:sz w:val="20"/>
          <w:szCs w:val="20"/>
          <w:color w:val="auto"/>
        </w:rPr>
      </w:pPr>
      <w:r>
        <w:rPr>
          <w:rFonts w:ascii="Arial" w:cs="Arial" w:eastAsia="Arial" w:hAnsi="Arial"/>
          <w:sz w:val="14"/>
          <w:szCs w:val="14"/>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20" w:firstLine="382"/>
        <w:spacing w:after="0" w:line="331" w:lineRule="auto"/>
        <w:rPr>
          <w:sz w:val="20"/>
          <w:szCs w:val="20"/>
          <w:color w:val="auto"/>
        </w:rPr>
      </w:pPr>
      <w:r>
        <w:rPr>
          <w:rFonts w:ascii="Arial" w:cs="Arial" w:eastAsia="Arial" w:hAnsi="Arial"/>
          <w:sz w:val="12"/>
          <w:szCs w:val="12"/>
          <w:color w:val="auto"/>
        </w:rPr>
        <w:t>Any change in the valuation of intangible assets would cause a corresponding increase or decrease in the balance of goodwill. A hypothetical 10% change in the valuation of intangible assets would result in a corresponding increase or decrease in the balance of goodwill of approximately $1.9 million. A hypothetical 10% change in the valuation of intangible assets would result in a change to annual amortization expense of approximately $195.0 thousand for the nine months ended September 30, 2022 and approximately $259.0 thousand for the year ended December 31, 2021.</w:t>
      </w:r>
    </w:p>
    <w:p>
      <w:pPr>
        <w:spacing w:after="0" w:line="76"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The preliminary fair value of the Trade Name is determined using the income approach, specifically the relief from royalty method. The preliminary fair value of the Customer Relationships is also determined using the income approach, specifically the multi-period excess earnings method. The most significant assumptions applied in the development of the intangible asset fair values include: the amount and timing of future cash flows, the selection of discount and royalty rates, and the assessment of the asset’s economic life.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Preliminary investments in the unaudited pro forma condensed combined financial information consist of the following:</w:t>
      </w:r>
    </w:p>
    <w:p>
      <w:pPr>
        <w:spacing w:after="0" w:line="178"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Preliminary Estimated Fair Value</w:t>
      </w:r>
    </w:p>
    <w:p>
      <w:pPr>
        <w:spacing w:after="0" w:line="20"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079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4" w:lineRule="exact"/>
        <w:rPr>
          <w:sz w:val="20"/>
          <w:szCs w:val="20"/>
          <w:color w:val="auto"/>
        </w:rPr>
      </w:pPr>
    </w:p>
    <w:p>
      <w:pPr>
        <w:ind w:left="20"/>
        <w:spacing w:after="0"/>
        <w:tabs>
          <w:tab w:leader="none" w:pos="8840" w:val="left"/>
          <w:tab w:leader="none" w:pos="10920" w:val="left"/>
        </w:tabs>
        <w:rPr>
          <w:sz w:val="20"/>
          <w:szCs w:val="20"/>
          <w:color w:val="auto"/>
        </w:rPr>
      </w:pPr>
      <w:r>
        <w:rPr>
          <w:rFonts w:ascii="Arial" w:cs="Arial" w:eastAsia="Arial" w:hAnsi="Arial"/>
          <w:sz w:val="13"/>
          <w:szCs w:val="13"/>
          <w:color w:val="auto"/>
        </w:rPr>
        <w:t>Investments</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6,600</w:t>
      </w:r>
    </w:p>
    <w:p>
      <w:pPr>
        <w:spacing w:after="0" w:line="165" w:lineRule="exact"/>
        <w:rPr>
          <w:sz w:val="20"/>
          <w:szCs w:val="20"/>
          <w:color w:val="auto"/>
        </w:rPr>
      </w:pPr>
    </w:p>
    <w:p>
      <w:pPr>
        <w:ind w:right="220" w:firstLine="382"/>
        <w:spacing w:after="0" w:line="281" w:lineRule="auto"/>
        <w:rPr>
          <w:sz w:val="20"/>
          <w:szCs w:val="20"/>
          <w:color w:val="auto"/>
        </w:rPr>
      </w:pPr>
      <w:r>
        <w:rPr>
          <w:rFonts w:ascii="Arial" w:cs="Arial" w:eastAsia="Arial" w:hAnsi="Arial"/>
          <w:sz w:val="14"/>
          <w:szCs w:val="14"/>
          <w:color w:val="auto"/>
        </w:rPr>
        <w:t>The estimated fair value of investments is preliminary and have been performed based on the best information available at the time of this analysis. As discussed above, the amount that will ultimately be allocated to investments, may differ materially from this preliminary allocation.</w:t>
      </w:r>
    </w:p>
    <w:p>
      <w:pPr>
        <w:spacing w:after="0" w:line="47" w:lineRule="exact"/>
        <w:rPr>
          <w:sz w:val="20"/>
          <w:szCs w:val="20"/>
          <w:color w:val="auto"/>
        </w:rPr>
      </w:pPr>
    </w:p>
    <w:p>
      <w:pPr>
        <w:ind w:right="640" w:firstLine="382"/>
        <w:spacing w:after="0" w:line="281" w:lineRule="auto"/>
        <w:rPr>
          <w:sz w:val="20"/>
          <w:szCs w:val="20"/>
          <w:color w:val="auto"/>
        </w:rPr>
      </w:pPr>
      <w:r>
        <w:rPr>
          <w:rFonts w:ascii="Arial" w:cs="Arial" w:eastAsia="Arial" w:hAnsi="Arial"/>
          <w:sz w:val="14"/>
          <w:szCs w:val="14"/>
          <w:color w:val="auto"/>
        </w:rPr>
        <w:t>A hypothetical 10% change in the valuation of investments would result in a corresponding increase or decrease in the balance of goodwill of approximately $660.0 thousand, with a corresponding change in goodwill.</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Transaction Accounting Adjustments for Condensed Combined Balance Sheet</w:t>
      </w:r>
    </w:p>
    <w:p>
      <w:pPr>
        <w:spacing w:after="0" w:line="98" w:lineRule="exact"/>
        <w:rPr>
          <w:sz w:val="20"/>
          <w:szCs w:val="20"/>
          <w:color w:val="auto"/>
        </w:rPr>
      </w:pPr>
    </w:p>
    <w:p>
      <w:pPr>
        <w:ind w:left="520" w:right="280" w:hanging="260"/>
        <w:spacing w:after="0" w:line="267" w:lineRule="auto"/>
        <w:tabs>
          <w:tab w:leader="none" w:pos="519"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connection with the Purchase Agreement, Westwood does not acquire certain assets nor assume certain liabilities. Assets not acquired are Cash and cash equivalents. Liabilities not assumed are certain liabilities, including transaction expenses, debt and liabilities not arising in the ordinary course of business. The adjustment reflects the excluded assets and liabilities with the offsetting related impact to retained earnings.</w:t>
      </w:r>
    </w:p>
    <w:p>
      <w:pPr>
        <w:spacing w:after="0" w:line="56" w:lineRule="exact"/>
        <w:rPr>
          <w:rFonts w:ascii="Arial" w:cs="Arial" w:eastAsia="Arial" w:hAnsi="Arial"/>
          <w:sz w:val="14"/>
          <w:szCs w:val="14"/>
          <w:color w:val="auto"/>
        </w:rPr>
      </w:pPr>
    </w:p>
    <w:p>
      <w:pPr>
        <w:ind w:left="520" w:right="200" w:hanging="260"/>
        <w:spacing w:after="0" w:line="281" w:lineRule="auto"/>
        <w:tabs>
          <w:tab w:leader="none" w:pos="512"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Reflects cash consideration transferred for the Acquisition and cash payment for accrued and estimated transaction costs. Cash payment for transaction costs already incurred and accrued, and estimated transaction costs is $1.8 million and $6.5 million, respectively.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tcPr>
          <w:p>
            <w:pPr>
              <w:jc w:val="right"/>
              <w:ind w:right="636"/>
              <w:spacing w:after="0"/>
              <w:rPr>
                <w:sz w:val="20"/>
                <w:szCs w:val="20"/>
                <w:color w:val="auto"/>
              </w:rPr>
            </w:pPr>
            <w:r>
              <w:rPr>
                <w:rFonts w:ascii="Arial" w:cs="Arial" w:eastAsia="Arial" w:hAnsi="Arial"/>
                <w:sz w:val="13"/>
                <w:szCs w:val="13"/>
                <w:b w:val="1"/>
                <w:bCs w:val="1"/>
                <w:color w:val="auto"/>
              </w:rPr>
              <w:t>(in thousands)</w:t>
            </w:r>
          </w:p>
        </w:tc>
      </w:tr>
      <w:tr>
        <w:trPr>
          <w:trHeight w:val="172"/>
        </w:trPr>
        <w:tc>
          <w:tcPr>
            <w:tcW w:w="9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transaction consideration</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33,277</w:t>
            </w:r>
          </w:p>
        </w:tc>
      </w:tr>
      <w:tr>
        <w:trPr>
          <w:trHeight w:val="168"/>
        </w:trPr>
        <w:tc>
          <w:tcPr>
            <w:tcW w:w="9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payment of accrued and estimated transaction costs</w:t>
            </w:r>
          </w:p>
        </w:tc>
        <w:tc>
          <w:tcPr>
            <w:tcW w:w="4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8,303</w:t>
            </w:r>
          </w:p>
        </w:tc>
      </w:tr>
      <w:tr>
        <w:trPr>
          <w:trHeight w:val="188"/>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 forma adjustment to Cash and cash equivalents</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41,580</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20" w:right="100" w:hanging="260"/>
        <w:spacing w:after="0" w:line="281" w:lineRule="auto"/>
        <w:tabs>
          <w:tab w:leader="none" w:pos="5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the removal of Salient Partners’ historical goodwill and recording of the preliminary goodwill for the estimated acquisition consideration in excess of the fair value of the net assets acquired in connection with the Acquisition: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tcPr>
          <w:p>
            <w:pPr>
              <w:jc w:val="right"/>
              <w:ind w:right="636"/>
              <w:spacing w:after="0"/>
              <w:rPr>
                <w:sz w:val="20"/>
                <w:szCs w:val="20"/>
                <w:color w:val="auto"/>
              </w:rPr>
            </w:pPr>
            <w:r>
              <w:rPr>
                <w:rFonts w:ascii="Arial" w:cs="Arial" w:eastAsia="Arial" w:hAnsi="Arial"/>
                <w:sz w:val="13"/>
                <w:szCs w:val="13"/>
                <w:b w:val="1"/>
                <w:bCs w:val="1"/>
                <w:color w:val="auto"/>
              </w:rPr>
              <w:t>(in thousands)</w:t>
            </w:r>
          </w:p>
        </w:tc>
      </w:tr>
      <w:tr>
        <w:trPr>
          <w:trHeight w:val="172"/>
        </w:trPr>
        <w:tc>
          <w:tcPr>
            <w:tcW w:w="9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of consideration transferred in excess of preliminary fair value of assets acquired and liabilities assumed</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21,374</w:t>
            </w:r>
          </w:p>
        </w:tc>
      </w:tr>
      <w:tr>
        <w:trPr>
          <w:trHeight w:val="168"/>
        </w:trPr>
        <w:tc>
          <w:tcPr>
            <w:tcW w:w="9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Salient Partners’ historical goodwill amount</w:t>
            </w:r>
          </w:p>
        </w:tc>
        <w:tc>
          <w:tcPr>
            <w:tcW w:w="4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(25,922)</w:t>
            </w:r>
          </w:p>
        </w:tc>
      </w:tr>
      <w:tr>
        <w:trPr>
          <w:trHeight w:val="188"/>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 forma adjustment to goodwill</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(4,548)</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80"/>
          </w:cols>
          <w:pgMar w:left="300" w:top="214" w:right="31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 w:right="40" w:hanging="260"/>
        <w:spacing w:after="0" w:line="281" w:lineRule="auto"/>
        <w:tabs>
          <w:tab w:leader="none" w:pos="519"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the incremental balance of intangible assets, net to be recorded considering Salient Partners’ historical intangible assets, net and the preliminary purchase accounting adjustments for the estimated fair value of acquired intangible assets based on the acquisition method of accounting: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tcPr>
          <w:p>
            <w:pPr>
              <w:ind w:left="300"/>
              <w:spacing w:after="0"/>
              <w:rPr>
                <w:sz w:val="20"/>
                <w:szCs w:val="20"/>
                <w:color w:val="auto"/>
              </w:rPr>
            </w:pPr>
            <w:r>
              <w:rPr>
                <w:rFonts w:ascii="Arial" w:cs="Arial" w:eastAsia="Arial" w:hAnsi="Arial"/>
                <w:sz w:val="13"/>
                <w:szCs w:val="13"/>
                <w:b w:val="1"/>
                <w:bCs w:val="1"/>
                <w:color w:val="auto"/>
              </w:rPr>
              <w:t>(in thousands)</w:t>
            </w:r>
          </w:p>
        </w:tc>
      </w:tr>
      <w:tr>
        <w:trPr>
          <w:trHeight w:val="172"/>
        </w:trPr>
        <w:tc>
          <w:tcPr>
            <w:tcW w:w="9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of acquired intangible assets</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19,300</w:t>
            </w:r>
          </w:p>
        </w:tc>
      </w:tr>
      <w:tr>
        <w:trPr>
          <w:trHeight w:val="168"/>
        </w:trPr>
        <w:tc>
          <w:tcPr>
            <w:tcW w:w="9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Salient Partners’ historical intangible assets, net</w:t>
            </w:r>
          </w:p>
        </w:tc>
        <w:tc>
          <w:tcPr>
            <w:tcW w:w="4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ind w:left="1380"/>
              <w:spacing w:after="0"/>
              <w:rPr>
                <w:sz w:val="20"/>
                <w:szCs w:val="20"/>
                <w:color w:val="auto"/>
              </w:rPr>
            </w:pPr>
            <w:r>
              <w:rPr>
                <w:rFonts w:ascii="Arial" w:cs="Arial" w:eastAsia="Arial" w:hAnsi="Arial"/>
                <w:sz w:val="13"/>
                <w:szCs w:val="13"/>
                <w:color w:val="auto"/>
                <w:w w:val="92"/>
              </w:rPr>
              <w:t>(2,046)</w:t>
            </w:r>
          </w:p>
        </w:tc>
      </w:tr>
      <w:tr>
        <w:trPr>
          <w:trHeight w:val="188"/>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 forma adjustment to intangible assets, net</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3"/>
                <w:szCs w:val="13"/>
                <w:color w:val="auto"/>
              </w:rPr>
              <w:t>17,254</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20" w:right="140" w:hanging="260"/>
        <w:spacing w:after="0" w:line="276" w:lineRule="auto"/>
        <w:tabs>
          <w:tab w:leader="none" w:pos="514"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the incremental balance of Investments be recorded considering Salient Partners’ historical Investments and the preliminary purchase accounting adjustments for the estimated fair value of acquired Investments based on the acquisition method of accounting: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tcPr>
          <w:p>
            <w:pPr>
              <w:ind w:left="340"/>
              <w:spacing w:after="0"/>
              <w:rPr>
                <w:sz w:val="20"/>
                <w:szCs w:val="20"/>
                <w:color w:val="auto"/>
              </w:rPr>
            </w:pPr>
            <w:r>
              <w:rPr>
                <w:rFonts w:ascii="Arial" w:cs="Arial" w:eastAsia="Arial" w:hAnsi="Arial"/>
                <w:sz w:val="13"/>
                <w:szCs w:val="13"/>
                <w:b w:val="1"/>
                <w:bCs w:val="1"/>
                <w:color w:val="auto"/>
              </w:rPr>
              <w:t>(in thousands)</w:t>
            </w:r>
          </w:p>
        </w:tc>
      </w:tr>
      <w:tr>
        <w:trPr>
          <w:trHeight w:val="172"/>
        </w:trPr>
        <w:tc>
          <w:tcPr>
            <w:tcW w:w="9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of acquired investments</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840" w:type="dxa"/>
            <w:vAlign w:val="bottom"/>
            <w:shd w:val="clear" w:color="auto" w:fill="CCEEFF"/>
          </w:tcPr>
          <w:p>
            <w:pPr>
              <w:jc w:val="center"/>
              <w:ind w:left="1396"/>
              <w:spacing w:after="0"/>
              <w:rPr>
                <w:sz w:val="20"/>
                <w:szCs w:val="20"/>
                <w:color w:val="auto"/>
              </w:rPr>
            </w:pPr>
            <w:r>
              <w:rPr>
                <w:rFonts w:ascii="Arial" w:cs="Arial" w:eastAsia="Arial" w:hAnsi="Arial"/>
                <w:sz w:val="13"/>
                <w:szCs w:val="13"/>
                <w:color w:val="auto"/>
                <w:w w:val="92"/>
              </w:rPr>
              <w:t>6,600</w:t>
            </w:r>
          </w:p>
        </w:tc>
      </w:tr>
      <w:tr>
        <w:trPr>
          <w:trHeight w:val="168"/>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Salient Partners’ historical investments</w:t>
            </w: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center"/>
              <w:ind w:left="1376"/>
              <w:spacing w:after="0"/>
              <w:rPr>
                <w:sz w:val="20"/>
                <w:szCs w:val="20"/>
                <w:color w:val="auto"/>
              </w:rPr>
            </w:pPr>
            <w:r>
              <w:rPr>
                <w:rFonts w:ascii="Arial" w:cs="Arial" w:eastAsia="Arial" w:hAnsi="Arial"/>
                <w:sz w:val="13"/>
                <w:szCs w:val="13"/>
                <w:color w:val="auto"/>
                <w:w w:val="87"/>
              </w:rPr>
              <w:t>(4,659)</w:t>
            </w:r>
          </w:p>
        </w:tc>
      </w:tr>
      <w:tr>
        <w:trPr>
          <w:trHeight w:val="188"/>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 forma adjustment to investments</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840" w:type="dxa"/>
            <w:vAlign w:val="bottom"/>
            <w:tcBorders>
              <w:bottom w:val="single" w:sz="8" w:color="auto"/>
            </w:tcBorders>
            <w:shd w:val="clear" w:color="auto" w:fill="CCEEFF"/>
          </w:tcPr>
          <w:p>
            <w:pPr>
              <w:jc w:val="center"/>
              <w:ind w:left="1396"/>
              <w:spacing w:after="0"/>
              <w:rPr>
                <w:sz w:val="20"/>
                <w:szCs w:val="20"/>
                <w:color w:val="auto"/>
              </w:rPr>
            </w:pPr>
            <w:r>
              <w:rPr>
                <w:rFonts w:ascii="Arial" w:cs="Arial" w:eastAsia="Arial" w:hAnsi="Arial"/>
                <w:sz w:val="13"/>
                <w:szCs w:val="13"/>
                <w:color w:val="auto"/>
                <w:w w:val="92"/>
              </w:rPr>
              <w:t>1,941</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right="220" w:hanging="260"/>
        <w:spacing w:after="0" w:line="281" w:lineRule="auto"/>
        <w:tabs>
          <w:tab w:leader="none" w:pos="506"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the adjustment of transaction costs incurred and accrued related to the Acquisition. This adjustment only includes transaction costs incurred by Westwood as transaction expenses incurred by Salient Partners are excluded from Westwood’s assumed liabilities.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Reflects the accrual of the estimated fair value of the contingent consideration arrangements within the transaction. The contingent consideration was assessed to be liability classified: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tcPr>
          <w:p>
            <w:pPr>
              <w:jc w:val="right"/>
              <w:ind w:right="636"/>
              <w:spacing w:after="0"/>
              <w:rPr>
                <w:sz w:val="20"/>
                <w:szCs w:val="20"/>
                <w:color w:val="auto"/>
              </w:rPr>
            </w:pPr>
            <w:r>
              <w:rPr>
                <w:rFonts w:ascii="Arial" w:cs="Arial" w:eastAsia="Arial" w:hAnsi="Arial"/>
                <w:sz w:val="13"/>
                <w:szCs w:val="13"/>
                <w:b w:val="1"/>
                <w:bCs w:val="1"/>
                <w:color w:val="auto"/>
              </w:rPr>
              <w:t>(in thousands)</w:t>
            </w:r>
          </w:p>
        </w:tc>
      </w:tr>
      <w:tr>
        <w:trPr>
          <w:trHeight w:val="172"/>
        </w:trPr>
        <w:tc>
          <w:tcPr>
            <w:tcW w:w="9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Estimated fair value of the Revenue Retention Payment</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10,637</w:t>
            </w:r>
          </w:p>
        </w:tc>
      </w:tr>
      <w:tr>
        <w:trPr>
          <w:trHeight w:val="168"/>
        </w:trPr>
        <w:tc>
          <w:tcPr>
            <w:tcW w:w="9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Estimated fair value of the Growth Earnout Payment</w:t>
            </w:r>
          </w:p>
        </w:tc>
        <w:tc>
          <w:tcPr>
            <w:tcW w:w="4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2,362</w:t>
            </w:r>
          </w:p>
        </w:tc>
      </w:tr>
      <w:tr>
        <w:trPr>
          <w:trHeight w:val="188"/>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 forma adjustment to contingent consideration</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12,999</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4"/>
          <w:szCs w:val="14"/>
          <w:color w:val="auto"/>
        </w:rPr>
        <w:t>H.</w:t>
      </w:r>
      <w:r>
        <w:rPr>
          <w:sz w:val="20"/>
          <w:szCs w:val="20"/>
          <w:color w:val="auto"/>
        </w:rPr>
        <w:tab/>
      </w:r>
      <w:r>
        <w:rPr>
          <w:rFonts w:ascii="Arial" w:cs="Arial" w:eastAsia="Arial" w:hAnsi="Arial"/>
          <w:sz w:val="12"/>
          <w:szCs w:val="12"/>
          <w:color w:val="auto"/>
        </w:rPr>
        <w:t>Reflects the adjustments to retained earnings: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tcPr>
          <w:p>
            <w:pPr>
              <w:jc w:val="right"/>
              <w:ind w:right="636"/>
              <w:spacing w:after="0"/>
              <w:rPr>
                <w:sz w:val="20"/>
                <w:szCs w:val="20"/>
                <w:color w:val="auto"/>
              </w:rPr>
            </w:pPr>
            <w:r>
              <w:rPr>
                <w:rFonts w:ascii="Arial" w:cs="Arial" w:eastAsia="Arial" w:hAnsi="Arial"/>
                <w:sz w:val="13"/>
                <w:szCs w:val="13"/>
                <w:b w:val="1"/>
                <w:bCs w:val="1"/>
                <w:color w:val="auto"/>
              </w:rPr>
              <w:t>(in thousands)</w:t>
            </w:r>
          </w:p>
        </w:tc>
      </w:tr>
      <w:tr>
        <w:trPr>
          <w:trHeight w:val="172"/>
        </w:trPr>
        <w:tc>
          <w:tcPr>
            <w:tcW w:w="9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Salient Partners’ historical Retained Earnings Adjusted for assets not acquired, liabilities not assumed (see Note 5(A))</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(31,629)</w:t>
            </w:r>
          </w:p>
        </w:tc>
      </w:tr>
      <w:tr>
        <w:trPr>
          <w:trHeight w:val="168"/>
        </w:trPr>
        <w:tc>
          <w:tcPr>
            <w:tcW w:w="9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Retained Earnings impact of Westwood estimated transaction related costs (see Note 5(B))</w:t>
            </w:r>
          </w:p>
        </w:tc>
        <w:tc>
          <w:tcPr>
            <w:tcW w:w="4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(6,480)</w:t>
            </w:r>
          </w:p>
        </w:tc>
      </w:tr>
      <w:tr>
        <w:trPr>
          <w:trHeight w:val="188"/>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 forma adjustment to retained earnings</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(38,109)</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Transaction Accounting Adjustments for Condensed Combined Statements of Operations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Adjustments included in the Transaction Accounting Adjustments column in the accompanying unaudited pro forma condensed combined statements of operations the nine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September 30, 2022 and for the year ended December 31, 2021 are as follows:</w:t>
      </w:r>
    </w:p>
    <w:p>
      <w:pPr>
        <w:spacing w:after="0" w:line="83" w:lineRule="exact"/>
        <w:rPr>
          <w:sz w:val="20"/>
          <w:szCs w:val="20"/>
          <w:color w:val="auto"/>
        </w:rPr>
      </w:pPr>
    </w:p>
    <w:p>
      <w:pPr>
        <w:ind w:left="520" w:right="300" w:hanging="260"/>
        <w:spacing w:after="0" w:line="281" w:lineRule="auto"/>
        <w:tabs>
          <w:tab w:leader="none" w:pos="519"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the adjustments to eliminate Salient Partners’ historical amortization expense and record new amortization expense based on the estimated fair value of the identifiable acquired intangible assets: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jc w:val="right"/>
              <w:ind w:right="176"/>
              <w:spacing w:after="0"/>
              <w:rPr>
                <w:sz w:val="20"/>
                <w:szCs w:val="20"/>
                <w:color w:val="auto"/>
              </w:rPr>
            </w:pPr>
            <w:r>
              <w:rPr>
                <w:rFonts w:ascii="Arial" w:cs="Arial" w:eastAsia="Arial" w:hAnsi="Arial"/>
                <w:sz w:val="13"/>
                <w:szCs w:val="13"/>
                <w:b w:val="1"/>
                <w:bCs w:val="1"/>
                <w:color w:val="auto"/>
                <w:w w:val="87"/>
              </w:rPr>
              <w:t>Nine months ended September 30,</w:t>
            </w:r>
          </w:p>
        </w:tc>
        <w:tc>
          <w:tcPr>
            <w:tcW w:w="1300" w:type="dxa"/>
            <w:vAlign w:val="bottom"/>
          </w:tcPr>
          <w:p>
            <w:pPr>
              <w:spacing w:after="0"/>
              <w:rPr>
                <w:sz w:val="12"/>
                <w:szCs w:val="12"/>
                <w:color w:val="auto"/>
              </w:rPr>
            </w:pPr>
          </w:p>
        </w:tc>
        <w:tc>
          <w:tcPr>
            <w:tcW w:w="200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w w:val="91"/>
              </w:rPr>
              <w:t>Year ended December 31, 2021</w:t>
            </w:r>
          </w:p>
        </w:tc>
        <w:tc>
          <w:tcPr>
            <w:tcW w:w="0" w:type="dxa"/>
            <w:vAlign w:val="bottom"/>
          </w:tcPr>
          <w:p>
            <w:pPr>
              <w:spacing w:after="0"/>
              <w:rPr>
                <w:sz w:val="1"/>
                <w:szCs w:val="1"/>
                <w:color w:val="auto"/>
              </w:rPr>
            </w:pPr>
          </w:p>
        </w:tc>
      </w:tr>
      <w:tr>
        <w:trPr>
          <w:trHeight w:val="168"/>
        </w:trPr>
        <w:tc>
          <w:tcPr>
            <w:tcW w:w="5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976"/>
              <w:spacing w:after="0"/>
              <w:rPr>
                <w:sz w:val="20"/>
                <w:szCs w:val="20"/>
                <w:color w:val="auto"/>
              </w:rPr>
            </w:pPr>
            <w:r>
              <w:rPr>
                <w:rFonts w:ascii="Arial" w:cs="Arial" w:eastAsia="Arial" w:hAnsi="Arial"/>
                <w:sz w:val="13"/>
                <w:szCs w:val="13"/>
                <w:b w:val="1"/>
                <w:bCs w:val="1"/>
                <w:color w:val="auto"/>
              </w:rPr>
              <w:t>2022</w:t>
            </w:r>
          </w:p>
        </w:tc>
        <w:tc>
          <w:tcPr>
            <w:tcW w:w="1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300" w:type="dxa"/>
            <w:vAlign w:val="bottom"/>
          </w:tcPr>
          <w:p>
            <w:pPr>
              <w:jc w:val="right"/>
              <w:ind w:right="316"/>
              <w:spacing w:after="0"/>
              <w:rPr>
                <w:sz w:val="20"/>
                <w:szCs w:val="20"/>
                <w:color w:val="auto"/>
              </w:rPr>
            </w:pPr>
            <w:r>
              <w:rPr>
                <w:rFonts w:ascii="Arial" w:cs="Arial" w:eastAsia="Arial" w:hAnsi="Arial"/>
                <w:sz w:val="13"/>
                <w:szCs w:val="13"/>
                <w:b w:val="1"/>
                <w:bCs w:val="1"/>
                <w:color w:val="auto"/>
              </w:rPr>
              <w:t>(in thousands)</w:t>
            </w: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Elimination of historical amortization on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1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Arial" w:cs="Arial" w:eastAsia="Arial" w:hAnsi="Arial"/>
                <w:sz w:val="13"/>
                <w:szCs w:val="13"/>
                <w:color w:val="auto"/>
              </w:rPr>
              <w:t>Amortization of acquired 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120" w:type="dxa"/>
            <w:vAlign w:val="bottom"/>
          </w:tcPr>
          <w:p>
            <w:pPr>
              <w:jc w:val="right"/>
              <w:ind w:right="76"/>
              <w:spacing w:after="0"/>
              <w:rPr>
                <w:sz w:val="20"/>
                <w:szCs w:val="20"/>
                <w:color w:val="auto"/>
              </w:rPr>
            </w:pPr>
            <w:r>
              <w:rPr>
                <w:rFonts w:ascii="Arial" w:cs="Arial" w:eastAsia="Arial" w:hAnsi="Arial"/>
                <w:sz w:val="13"/>
                <w:szCs w:val="13"/>
                <w:color w:val="auto"/>
              </w:rPr>
              <w:t>1,945</w:t>
            </w:r>
          </w:p>
        </w:tc>
        <w:tc>
          <w:tcPr>
            <w:tcW w:w="13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0" w:type="dxa"/>
            <w:vAlign w:val="bottom"/>
          </w:tcPr>
          <w:p>
            <w:pPr>
              <w:jc w:val="right"/>
              <w:spacing w:after="0"/>
              <w:rPr>
                <w:sz w:val="20"/>
                <w:szCs w:val="20"/>
                <w:color w:val="auto"/>
              </w:rPr>
            </w:pPr>
            <w:r>
              <w:rPr>
                <w:rFonts w:ascii="Arial" w:cs="Arial" w:eastAsia="Arial" w:hAnsi="Arial"/>
                <w:sz w:val="13"/>
                <w:szCs w:val="13"/>
                <w:color w:val="auto"/>
              </w:rPr>
              <w:t>2,593</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 forma net adjustment to 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1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1,945</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80"/>
          </w:cols>
          <w:pgMar w:left="300" w:top="214"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14"/>
          <w:szCs w:val="14"/>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 w:right="40" w:hanging="260"/>
        <w:spacing w:after="0" w:line="281" w:lineRule="auto"/>
        <w:tabs>
          <w:tab w:leader="none" w:pos="512"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the adjustments to information technology, professional services, general and administrative, and Employee compensation and benefits expenses to record transaction costs expected to be incurred in conjunction with the Acquisition.</w:t>
      </w:r>
    </w:p>
    <w:p>
      <w:pPr>
        <w:spacing w:after="0" w:line="47" w:lineRule="exact"/>
        <w:rPr>
          <w:rFonts w:ascii="Arial" w:cs="Arial" w:eastAsia="Arial" w:hAnsi="Arial"/>
          <w:sz w:val="14"/>
          <w:szCs w:val="14"/>
          <w:color w:val="auto"/>
        </w:rPr>
      </w:pPr>
    </w:p>
    <w:p>
      <w:pPr>
        <w:ind w:left="520" w:right="360" w:hanging="260"/>
        <w:spacing w:after="0" w:line="267" w:lineRule="auto"/>
        <w:tabs>
          <w:tab w:leader="none" w:pos="512"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the adjustments in expenses related to liabilities not assumed in connection with the Acquisition. As stated in Note 5(A), Westwood is not assuming certain liabilities of Salient Partners, including Subordinated debt, Senior debt, Note payable, restructuring fee payable, and SBA Loan. This adjustment removes historical expenses related to the liabilities not assumed.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jc w:val="right"/>
              <w:ind w:right="96"/>
              <w:spacing w:after="0"/>
              <w:rPr>
                <w:sz w:val="20"/>
                <w:szCs w:val="20"/>
                <w:color w:val="auto"/>
              </w:rPr>
            </w:pPr>
            <w:r>
              <w:rPr>
                <w:rFonts w:ascii="Arial" w:cs="Arial" w:eastAsia="Arial" w:hAnsi="Arial"/>
                <w:sz w:val="13"/>
                <w:szCs w:val="13"/>
                <w:b w:val="1"/>
                <w:bCs w:val="1"/>
                <w:color w:val="auto"/>
                <w:w w:val="87"/>
              </w:rPr>
              <w:t>Nine months ended September 30,</w:t>
            </w: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w w:val="91"/>
              </w:rPr>
              <w:t>Year ended December 31, 2021</w:t>
            </w:r>
          </w:p>
        </w:tc>
        <w:tc>
          <w:tcPr>
            <w:tcW w:w="0" w:type="dxa"/>
            <w:vAlign w:val="bottom"/>
          </w:tcPr>
          <w:p>
            <w:pPr>
              <w:spacing w:after="0"/>
              <w:rPr>
                <w:sz w:val="1"/>
                <w:szCs w:val="1"/>
                <w:color w:val="auto"/>
              </w:rPr>
            </w:pPr>
          </w:p>
        </w:tc>
      </w:tr>
      <w:tr>
        <w:trPr>
          <w:trHeight w:val="168"/>
        </w:trPr>
        <w:tc>
          <w:tcPr>
            <w:tcW w:w="5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896"/>
              <w:spacing w:after="0"/>
              <w:rPr>
                <w:sz w:val="20"/>
                <w:szCs w:val="20"/>
                <w:color w:val="auto"/>
              </w:rPr>
            </w:pPr>
            <w:r>
              <w:rPr>
                <w:rFonts w:ascii="Arial" w:cs="Arial" w:eastAsia="Arial" w:hAnsi="Arial"/>
                <w:sz w:val="13"/>
                <w:szCs w:val="13"/>
                <w:b w:val="1"/>
                <w:bCs w:val="1"/>
                <w:color w:val="auto"/>
              </w:rPr>
              <w:t>2022</w:t>
            </w:r>
          </w:p>
        </w:tc>
        <w:tc>
          <w:tcPr>
            <w:tcW w:w="1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(in thousands)</w:t>
            </w: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Debt modification costs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1,120</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2,912</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fee</w:t>
            </w: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w:t>
            </w: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Arial" w:cs="Arial" w:eastAsia="Arial" w:hAnsi="Arial"/>
                <w:sz w:val="13"/>
                <w:szCs w:val="13"/>
                <w:color w:val="auto"/>
              </w:rPr>
              <w:t>SBA loan forgiven</w:t>
            </w:r>
          </w:p>
        </w:tc>
        <w:tc>
          <w:tcPr>
            <w:tcW w:w="12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(1,711)</w:t>
            </w:r>
          </w:p>
        </w:tc>
        <w:tc>
          <w:tcPr>
            <w:tcW w:w="0" w:type="dxa"/>
            <w:vAlign w:val="bottom"/>
          </w:tcPr>
          <w:p>
            <w:pPr>
              <w:spacing w:after="0"/>
              <w:rPr>
                <w:sz w:val="1"/>
                <w:szCs w:val="1"/>
                <w:color w:val="auto"/>
              </w:rPr>
            </w:pPr>
          </w:p>
        </w:tc>
      </w:tr>
      <w:tr>
        <w:trPr>
          <w:trHeight w:val="170"/>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Term loan including interest forgiveness</w:t>
            </w:r>
          </w:p>
        </w:tc>
        <w:tc>
          <w:tcPr>
            <w:tcW w:w="12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(17,715)</w:t>
            </w:r>
          </w:p>
        </w:tc>
        <w:tc>
          <w:tcPr>
            <w:tcW w:w="0" w:type="dxa"/>
            <w:vAlign w:val="bottom"/>
          </w:tcPr>
          <w:p>
            <w:pPr>
              <w:spacing w:after="0"/>
              <w:rPr>
                <w:sz w:val="1"/>
                <w:szCs w:val="1"/>
                <w:color w:val="auto"/>
              </w:rPr>
            </w:pPr>
          </w:p>
        </w:tc>
      </w:tr>
      <w:tr>
        <w:trPr>
          <w:trHeight w:val="163"/>
        </w:trPr>
        <w:tc>
          <w:tcPr>
            <w:tcW w:w="5740" w:type="dxa"/>
            <w:vAlign w:val="bottom"/>
          </w:tcPr>
          <w:p>
            <w:pPr>
              <w:ind w:left="1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040" w:type="dxa"/>
            <w:vAlign w:val="bottom"/>
          </w:tcPr>
          <w:p>
            <w:pPr>
              <w:jc w:val="right"/>
              <w:spacing w:after="0"/>
              <w:rPr>
                <w:sz w:val="20"/>
                <w:szCs w:val="20"/>
                <w:color w:val="auto"/>
              </w:rPr>
            </w:pPr>
            <w:r>
              <w:rPr>
                <w:rFonts w:ascii="Arial" w:cs="Arial" w:eastAsia="Arial" w:hAnsi="Arial"/>
                <w:sz w:val="13"/>
                <w:szCs w:val="13"/>
                <w:color w:val="auto"/>
              </w:rPr>
              <w:t>3,168</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000" w:type="dxa"/>
            <w:vAlign w:val="bottom"/>
          </w:tcPr>
          <w:p>
            <w:pPr>
              <w:jc w:val="right"/>
              <w:spacing w:after="0"/>
              <w:rPr>
                <w:sz w:val="20"/>
                <w:szCs w:val="20"/>
                <w:color w:val="auto"/>
              </w:rPr>
            </w:pPr>
            <w:r>
              <w:rPr>
                <w:rFonts w:ascii="Arial" w:cs="Arial" w:eastAsia="Arial" w:hAnsi="Arial"/>
                <w:sz w:val="13"/>
                <w:szCs w:val="13"/>
                <w:color w:val="auto"/>
              </w:rPr>
              <w:t>(14,517)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right="280" w:hanging="260"/>
        <w:spacing w:after="0" w:line="281" w:lineRule="auto"/>
        <w:tabs>
          <w:tab w:leader="none" w:pos="519"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Reflects compensation expense related to newly issued restricted stock grants issued in conjunction with the Acquisition. 468,607 shares were granted with a grant date fair value of $5.0 million. The grant is subject only to service condition of 5 years, and will cliff vest upon the employee providing the requisite service.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jc w:val="center"/>
              <w:ind w:right="156"/>
              <w:spacing w:after="0"/>
              <w:rPr>
                <w:sz w:val="20"/>
                <w:szCs w:val="20"/>
                <w:color w:val="auto"/>
              </w:rPr>
            </w:pPr>
            <w:r>
              <w:rPr>
                <w:rFonts w:ascii="Arial" w:cs="Arial" w:eastAsia="Arial" w:hAnsi="Arial"/>
                <w:sz w:val="13"/>
                <w:szCs w:val="13"/>
                <w:b w:val="1"/>
                <w:bCs w:val="1"/>
                <w:color w:val="auto"/>
                <w:w w:val="87"/>
              </w:rPr>
              <w:t>Nine months ended September 30,</w:t>
            </w:r>
          </w:p>
        </w:tc>
        <w:tc>
          <w:tcPr>
            <w:tcW w:w="1300" w:type="dxa"/>
            <w:vAlign w:val="bottom"/>
          </w:tcPr>
          <w:p>
            <w:pPr>
              <w:spacing w:after="0"/>
              <w:rPr>
                <w:sz w:val="13"/>
                <w:szCs w:val="13"/>
                <w:color w:val="auto"/>
              </w:rPr>
            </w:pPr>
          </w:p>
        </w:tc>
        <w:tc>
          <w:tcPr>
            <w:tcW w:w="200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w w:val="91"/>
              </w:rPr>
              <w:t>Year ended December 31, 2021</w:t>
            </w:r>
          </w:p>
        </w:tc>
        <w:tc>
          <w:tcPr>
            <w:tcW w:w="0" w:type="dxa"/>
            <w:vAlign w:val="bottom"/>
          </w:tcPr>
          <w:p>
            <w:pPr>
              <w:spacing w:after="0"/>
              <w:rPr>
                <w:sz w:val="1"/>
                <w:szCs w:val="1"/>
                <w:color w:val="auto"/>
              </w:rPr>
            </w:pPr>
          </w:p>
        </w:tc>
      </w:tr>
      <w:tr>
        <w:trPr>
          <w:trHeight w:val="168"/>
        </w:trPr>
        <w:tc>
          <w:tcPr>
            <w:tcW w:w="5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976"/>
              <w:spacing w:after="0"/>
              <w:rPr>
                <w:sz w:val="20"/>
                <w:szCs w:val="20"/>
                <w:color w:val="auto"/>
              </w:rPr>
            </w:pPr>
            <w:r>
              <w:rPr>
                <w:rFonts w:ascii="Arial" w:cs="Arial" w:eastAsia="Arial" w:hAnsi="Arial"/>
                <w:sz w:val="13"/>
                <w:szCs w:val="13"/>
                <w:b w:val="1"/>
                <w:bCs w:val="1"/>
                <w:color w:val="auto"/>
              </w:rPr>
              <w:t>2022</w:t>
            </w:r>
          </w:p>
        </w:tc>
        <w:tc>
          <w:tcPr>
            <w:tcW w:w="1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300" w:type="dxa"/>
            <w:vAlign w:val="bottom"/>
          </w:tcPr>
          <w:p>
            <w:pPr>
              <w:jc w:val="right"/>
              <w:ind w:right="316"/>
              <w:spacing w:after="0"/>
              <w:rPr>
                <w:sz w:val="20"/>
                <w:szCs w:val="20"/>
                <w:color w:val="auto"/>
              </w:rPr>
            </w:pPr>
            <w:r>
              <w:rPr>
                <w:rFonts w:ascii="Arial" w:cs="Arial" w:eastAsia="Arial" w:hAnsi="Arial"/>
                <w:sz w:val="13"/>
                <w:szCs w:val="13"/>
                <w:b w:val="1"/>
                <w:bCs w:val="1"/>
                <w:color w:val="auto"/>
              </w:rPr>
              <w:t>(in thousands)</w:t>
            </w: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 compensation and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1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750</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520" w:right="540" w:hanging="260"/>
        <w:spacing w:after="0" w:line="281" w:lineRule="auto"/>
        <w:tabs>
          <w:tab w:leader="none" w:pos="514"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Following the close of the Acquisition, Salient Partners will be subject to U.S. federal income taxes, in addition to state, and local income taxes. As a result, the unaudited pro forma condensed consolidated statement of operations reflects adjustments to income tax expense to reflect a blended statutory rate of 26%.</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20" w:type="dxa"/>
            <w:vAlign w:val="bottom"/>
          </w:tcPr>
          <w:p>
            <w:pPr>
              <w:spacing w:after="0"/>
              <w:rPr>
                <w:sz w:val="14"/>
                <w:szCs w:val="14"/>
                <w:color w:val="auto"/>
              </w:rPr>
            </w:pPr>
          </w:p>
        </w:tc>
        <w:tc>
          <w:tcPr>
            <w:tcW w:w="2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7"/>
              </w:rPr>
              <w:t>Nine months ended September 30, 2022</w:t>
            </w:r>
          </w:p>
        </w:tc>
        <w:tc>
          <w:tcPr>
            <w:tcW w:w="1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w w:val="92"/>
              </w:rPr>
              <w:t>Year ended December 31, 2021</w:t>
            </w:r>
          </w:p>
        </w:tc>
      </w:tr>
      <w:tr>
        <w:trPr>
          <w:trHeight w:val="160"/>
        </w:trPr>
        <w:tc>
          <w:tcPr>
            <w:tcW w:w="5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(in thousands)</w:t>
            </w:r>
          </w:p>
        </w:tc>
        <w:tc>
          <w:tcPr>
            <w:tcW w:w="2060" w:type="dxa"/>
            <w:vAlign w:val="bottom"/>
          </w:tcPr>
          <w:p>
            <w:pPr>
              <w:spacing w:after="0"/>
              <w:rPr>
                <w:sz w:val="13"/>
                <w:szCs w:val="13"/>
                <w:color w:val="auto"/>
              </w:rPr>
            </w:pPr>
          </w:p>
        </w:tc>
      </w:tr>
      <w:tr>
        <w:trPr>
          <w:trHeight w:val="172"/>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Salient Partners’ historical pre-tax income (loss)</w:t>
            </w:r>
          </w:p>
        </w:tc>
        <w:tc>
          <w:tcPr>
            <w:tcW w:w="9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(2,901)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14,463</w:t>
            </w:r>
          </w:p>
        </w:tc>
      </w:tr>
      <w:tr>
        <w:trPr>
          <w:trHeight w:val="168"/>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 forma adjustments</w:t>
            </w:r>
          </w:p>
        </w:tc>
        <w:tc>
          <w:tcPr>
            <w:tcW w:w="9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473</w:t>
            </w:r>
          </w:p>
        </w:tc>
        <w:tc>
          <w:tcPr>
            <w:tcW w:w="1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(24,777)</w:t>
            </w:r>
          </w:p>
        </w:tc>
      </w:tr>
      <w:tr>
        <w:trPr>
          <w:trHeight w:val="163"/>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loss</w:t>
            </w:r>
          </w:p>
        </w:tc>
        <w:tc>
          <w:tcPr>
            <w:tcW w:w="90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(2,428)</w:t>
            </w:r>
          </w:p>
        </w:tc>
        <w:tc>
          <w:tcPr>
            <w:tcW w:w="1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(10,314)</w:t>
            </w:r>
          </w:p>
        </w:tc>
      </w:tr>
      <w:tr>
        <w:trPr>
          <w:trHeight w:val="168"/>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Blended statutory rate</w:t>
            </w:r>
          </w:p>
        </w:tc>
        <w:tc>
          <w:tcPr>
            <w:tcW w:w="9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26 %</w:t>
            </w:r>
          </w:p>
        </w:tc>
        <w:tc>
          <w:tcPr>
            <w:tcW w:w="1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26 %</w:t>
            </w:r>
          </w:p>
        </w:tc>
      </w:tr>
      <w:tr>
        <w:trPr>
          <w:trHeight w:val="163"/>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tax provision</w:t>
            </w:r>
          </w:p>
        </w:tc>
        <w:tc>
          <w:tcPr>
            <w:tcW w:w="90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(631)</w:t>
            </w:r>
          </w:p>
        </w:tc>
        <w:tc>
          <w:tcPr>
            <w:tcW w:w="1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(2,682)</w:t>
            </w:r>
          </w:p>
        </w:tc>
      </w:tr>
    </w:tbl>
    <w:p>
      <w:pPr>
        <w:spacing w:after="0" w:line="148" w:lineRule="exact"/>
        <w:rPr>
          <w:sz w:val="20"/>
          <w:szCs w:val="20"/>
          <w:color w:val="auto"/>
        </w:rPr>
      </w:pPr>
    </w:p>
    <w:p>
      <w:pPr>
        <w:ind w:left="520" w:hanging="260"/>
        <w:spacing w:after="0" w:line="281" w:lineRule="auto"/>
        <w:tabs>
          <w:tab w:leader="none" w:pos="50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pro forma basic and diluted earnings per share amounts presented in the unaudited pro forma condensed combined statements of operations are based upon Westwood’s weighted average number of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80"/>
          </w:cols>
          <w:pgMar w:left="300" w:top="214" w:right="319" w:bottom="1440" w:gutter="0" w:footer="0" w:header="0"/>
        </w:sectPr>
      </w:pPr>
    </w:p>
    <w:bookmarkStart w:id="73" w:name="page74"/>
    <w:bookmarkEnd w:id="73"/>
    <w:p>
      <w:pPr>
        <w:jc w:val="center"/>
        <w:spacing w:after="0"/>
        <w:rPr>
          <w:sz w:val="20"/>
          <w:szCs w:val="20"/>
          <w:color w:val="auto"/>
        </w:rPr>
      </w:pPr>
      <w:r>
        <w:rPr>
          <w:rFonts w:ascii="Arial" w:cs="Arial" w:eastAsia="Arial" w:hAnsi="Arial"/>
          <w:sz w:val="14"/>
          <w:szCs w:val="14"/>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2380" w:type="dxa"/>
            <w:vAlign w:val="bottom"/>
            <w:gridSpan w:val="2"/>
          </w:tcPr>
          <w:p>
            <w:pPr>
              <w:jc w:val="right"/>
              <w:ind w:right="296"/>
              <w:spacing w:after="0"/>
              <w:rPr>
                <w:sz w:val="20"/>
                <w:szCs w:val="20"/>
                <w:color w:val="auto"/>
              </w:rPr>
            </w:pPr>
            <w:r>
              <w:rPr>
                <w:rFonts w:ascii="Arial" w:cs="Arial" w:eastAsia="Arial" w:hAnsi="Arial"/>
                <w:sz w:val="13"/>
                <w:szCs w:val="13"/>
                <w:b w:val="1"/>
                <w:bCs w:val="1"/>
                <w:color w:val="auto"/>
                <w:w w:val="93"/>
              </w:rPr>
              <w:t>Nine months ended September 30,</w:t>
            </w:r>
          </w:p>
        </w:tc>
        <w:tc>
          <w:tcPr>
            <w:tcW w:w="2380" w:type="dxa"/>
            <w:vAlign w:val="bottom"/>
            <w:gridSpan w:val="2"/>
            <w:vMerge w:val="restart"/>
          </w:tcPr>
          <w:p>
            <w:pPr>
              <w:jc w:val="right"/>
              <w:ind w:right="176"/>
              <w:spacing w:after="0"/>
              <w:rPr>
                <w:sz w:val="20"/>
                <w:szCs w:val="20"/>
                <w:color w:val="auto"/>
              </w:rPr>
            </w:pPr>
            <w:r>
              <w:rPr>
                <w:rFonts w:ascii="Arial" w:cs="Arial" w:eastAsia="Arial" w:hAnsi="Arial"/>
                <w:sz w:val="13"/>
                <w:szCs w:val="13"/>
                <w:b w:val="1"/>
                <w:bCs w:val="1"/>
                <w:color w:val="auto"/>
              </w:rPr>
              <w:t>Year ended December 31, 2021</w:t>
            </w:r>
          </w:p>
        </w:tc>
        <w:tc>
          <w:tcPr>
            <w:tcW w:w="0" w:type="dxa"/>
            <w:vAlign w:val="bottom"/>
          </w:tcPr>
          <w:p>
            <w:pPr>
              <w:spacing w:after="0"/>
              <w:rPr>
                <w:sz w:val="1"/>
                <w:szCs w:val="1"/>
                <w:color w:val="auto"/>
              </w:rPr>
            </w:pPr>
          </w:p>
        </w:tc>
      </w:tr>
      <w:tr>
        <w:trPr>
          <w:trHeight w:val="168"/>
        </w:trPr>
        <w:tc>
          <w:tcPr>
            <w:tcW w:w="6520" w:type="dxa"/>
            <w:vAlign w:val="bottom"/>
          </w:tcPr>
          <w:p>
            <w:pPr>
              <w:spacing w:after="0"/>
              <w:rPr>
                <w:sz w:val="14"/>
                <w:szCs w:val="14"/>
                <w:color w:val="auto"/>
              </w:rPr>
            </w:pPr>
          </w:p>
        </w:tc>
        <w:tc>
          <w:tcPr>
            <w:tcW w:w="13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2022</w:t>
            </w:r>
          </w:p>
        </w:tc>
        <w:tc>
          <w:tcPr>
            <w:tcW w:w="10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6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320" w:type="dxa"/>
            <w:vAlign w:val="bottom"/>
            <w:gridSpan w:val="2"/>
          </w:tcPr>
          <w:p>
            <w:pPr>
              <w:jc w:val="right"/>
              <w:ind w:right="416"/>
              <w:spacing w:after="0" w:line="120" w:lineRule="exact"/>
              <w:rPr>
                <w:sz w:val="20"/>
                <w:szCs w:val="20"/>
                <w:color w:val="auto"/>
              </w:rPr>
            </w:pPr>
            <w:r>
              <w:rPr>
                <w:rFonts w:ascii="Arial" w:cs="Arial" w:eastAsia="Arial" w:hAnsi="Arial"/>
                <w:sz w:val="13"/>
                <w:szCs w:val="13"/>
                <w:b w:val="1"/>
                <w:bCs w:val="1"/>
                <w:color w:val="auto"/>
                <w:w w:val="92"/>
              </w:rPr>
              <w:t>(in thousands, except per share</w:t>
            </w: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320" w:type="dxa"/>
            <w:vAlign w:val="bottom"/>
            <w:gridSpan w:val="2"/>
          </w:tcPr>
          <w:p>
            <w:pPr>
              <w:jc w:val="right"/>
              <w:ind w:right="716"/>
              <w:spacing w:after="0"/>
              <w:rPr>
                <w:sz w:val="20"/>
                <w:szCs w:val="20"/>
                <w:color w:val="auto"/>
              </w:rPr>
            </w:pPr>
            <w:r>
              <w:rPr>
                <w:rFonts w:ascii="Arial" w:cs="Arial" w:eastAsia="Arial" w:hAnsi="Arial"/>
                <w:sz w:val="13"/>
                <w:szCs w:val="13"/>
                <w:b w:val="1"/>
                <w:bCs w:val="1"/>
                <w:color w:val="auto"/>
              </w:rPr>
              <w:t>and share amounts)</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Numerator</w:t>
            </w:r>
          </w:p>
        </w:tc>
        <w:tc>
          <w:tcPr>
            <w:tcW w:w="1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20" w:type="dxa"/>
            <w:vAlign w:val="bottom"/>
          </w:tcPr>
          <w:p>
            <w:pPr>
              <w:ind w:left="20"/>
              <w:spacing w:after="0"/>
              <w:rPr>
                <w:sz w:val="20"/>
                <w:szCs w:val="20"/>
                <w:color w:val="auto"/>
              </w:rPr>
            </w:pPr>
            <w:r>
              <w:rPr>
                <w:rFonts w:ascii="Arial" w:cs="Arial" w:eastAsia="Arial" w:hAnsi="Arial"/>
                <w:sz w:val="13"/>
                <w:szCs w:val="13"/>
                <w:color w:val="auto"/>
              </w:rPr>
              <w:t>Pro forma net income (loss) attributable to common stockholders, basis and diluted</w:t>
            </w:r>
          </w:p>
        </w:tc>
        <w:tc>
          <w:tcPr>
            <w:tcW w:w="1380" w:type="dxa"/>
            <w:vAlign w:val="bottom"/>
          </w:tcPr>
          <w:p>
            <w:pPr>
              <w:jc w:val="right"/>
              <w:ind w:right="123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156"/>
              <w:spacing w:after="0"/>
              <w:rPr>
                <w:sz w:val="20"/>
                <w:szCs w:val="20"/>
                <w:color w:val="auto"/>
              </w:rPr>
            </w:pPr>
            <w:r>
              <w:rPr>
                <w:rFonts w:ascii="Arial" w:cs="Arial" w:eastAsia="Arial" w:hAnsi="Arial"/>
                <w:sz w:val="13"/>
                <w:szCs w:val="13"/>
                <w:color w:val="auto"/>
              </w:rPr>
              <w:t>(3,300)</w:t>
            </w:r>
          </w:p>
        </w:tc>
        <w:tc>
          <w:tcPr>
            <w:tcW w:w="1320" w:type="dxa"/>
            <w:vAlign w:val="bottom"/>
          </w:tcPr>
          <w:p>
            <w:pPr>
              <w:jc w:val="right"/>
              <w:ind w:right="97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5,525</w:t>
            </w:r>
          </w:p>
        </w:tc>
        <w:tc>
          <w:tcPr>
            <w:tcW w:w="0" w:type="dxa"/>
            <w:vAlign w:val="bottom"/>
          </w:tcPr>
          <w:p>
            <w:pPr>
              <w:spacing w:after="0"/>
              <w:rPr>
                <w:sz w:val="1"/>
                <w:szCs w:val="1"/>
                <w:color w:val="auto"/>
              </w:rPr>
            </w:pPr>
          </w:p>
        </w:tc>
      </w:tr>
      <w:tr>
        <w:trPr>
          <w:trHeight w:val="172"/>
        </w:trPr>
        <w:tc>
          <w:tcPr>
            <w:tcW w:w="65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20" w:type="dxa"/>
            <w:vAlign w:val="bottom"/>
          </w:tcPr>
          <w:p>
            <w:pPr>
              <w:ind w:left="20"/>
              <w:spacing w:after="0"/>
              <w:rPr>
                <w:sz w:val="20"/>
                <w:szCs w:val="20"/>
                <w:color w:val="auto"/>
              </w:rPr>
            </w:pPr>
            <w:r>
              <w:rPr>
                <w:rFonts w:ascii="Arial" w:cs="Arial" w:eastAsia="Arial" w:hAnsi="Arial"/>
                <w:sz w:val="13"/>
                <w:szCs w:val="13"/>
                <w:b w:val="1"/>
                <w:bCs w:val="1"/>
                <w:color w:val="auto"/>
              </w:rPr>
              <w:t>Denominator</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Weighted-average shares used in computing net income (loss) per share attributable to common stockholders, basic</w:t>
            </w:r>
          </w:p>
        </w:tc>
        <w:tc>
          <w:tcPr>
            <w:tcW w:w="13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7,867,555</w:t>
            </w:r>
          </w:p>
        </w:tc>
        <w:tc>
          <w:tcPr>
            <w:tcW w:w="1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7,875,395</w:t>
            </w:r>
          </w:p>
        </w:tc>
        <w:tc>
          <w:tcPr>
            <w:tcW w:w="0" w:type="dxa"/>
            <w:vAlign w:val="bottom"/>
          </w:tcPr>
          <w:p>
            <w:pPr>
              <w:spacing w:after="0"/>
              <w:rPr>
                <w:sz w:val="1"/>
                <w:szCs w:val="1"/>
                <w:color w:val="auto"/>
              </w:rPr>
            </w:pPr>
          </w:p>
        </w:tc>
      </w:tr>
      <w:tr>
        <w:trPr>
          <w:trHeight w:val="170"/>
        </w:trPr>
        <w:tc>
          <w:tcPr>
            <w:tcW w:w="65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Dilutive potential shares from unvested restricted shares </w:t>
            </w:r>
            <w:r>
              <w:rPr>
                <w:rFonts w:ascii="Arial" w:cs="Arial" w:eastAsia="Arial" w:hAnsi="Arial"/>
                <w:sz w:val="16"/>
                <w:szCs w:val="16"/>
                <w:color w:val="auto"/>
                <w:vertAlign w:val="superscript"/>
              </w:rPr>
              <w:t>(1)</w:t>
            </w:r>
          </w:p>
        </w:tc>
        <w:tc>
          <w:tcPr>
            <w:tcW w:w="1380" w:type="dxa"/>
            <w:vAlign w:val="bottom"/>
          </w:tcPr>
          <w:p>
            <w:pPr>
              <w:spacing w:after="0"/>
              <w:rPr>
                <w:sz w:val="14"/>
                <w:szCs w:val="14"/>
                <w:color w:val="auto"/>
              </w:rPr>
            </w:pPr>
          </w:p>
        </w:tc>
        <w:tc>
          <w:tcPr>
            <w:tcW w:w="10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248,503</w:t>
            </w:r>
          </w:p>
        </w:tc>
        <w:tc>
          <w:tcPr>
            <w:tcW w:w="0" w:type="dxa"/>
            <w:vAlign w:val="bottom"/>
          </w:tcPr>
          <w:p>
            <w:pPr>
              <w:spacing w:after="0"/>
              <w:rPr>
                <w:sz w:val="1"/>
                <w:szCs w:val="1"/>
                <w:color w:val="auto"/>
              </w:rPr>
            </w:pPr>
          </w:p>
        </w:tc>
      </w:tr>
      <w:tr>
        <w:trPr>
          <w:trHeight w:val="170"/>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Weighted-average shares used in computing net income (loss) per share attributable to common stockholders, diluted</w:t>
            </w:r>
          </w:p>
        </w:tc>
        <w:tc>
          <w:tcPr>
            <w:tcW w:w="13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7,867,555</w:t>
            </w:r>
          </w:p>
        </w:tc>
        <w:tc>
          <w:tcPr>
            <w:tcW w:w="1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8,123,898</w:t>
            </w:r>
          </w:p>
        </w:tc>
        <w:tc>
          <w:tcPr>
            <w:tcW w:w="0" w:type="dxa"/>
            <w:vAlign w:val="bottom"/>
          </w:tcPr>
          <w:p>
            <w:pPr>
              <w:spacing w:after="0"/>
              <w:rPr>
                <w:sz w:val="1"/>
                <w:szCs w:val="1"/>
                <w:color w:val="auto"/>
              </w:rPr>
            </w:pPr>
          </w:p>
        </w:tc>
      </w:tr>
      <w:tr>
        <w:trPr>
          <w:trHeight w:val="168"/>
        </w:trPr>
        <w:tc>
          <w:tcPr>
            <w:tcW w:w="6520" w:type="dxa"/>
            <w:vAlign w:val="bottom"/>
          </w:tcPr>
          <w:p>
            <w:pPr>
              <w:ind w:left="20"/>
              <w:spacing w:after="0"/>
              <w:rPr>
                <w:sz w:val="20"/>
                <w:szCs w:val="20"/>
                <w:color w:val="auto"/>
              </w:rPr>
            </w:pPr>
            <w:r>
              <w:rPr>
                <w:rFonts w:ascii="Arial" w:cs="Arial" w:eastAsia="Arial" w:hAnsi="Arial"/>
                <w:sz w:val="13"/>
                <w:szCs w:val="13"/>
                <w:color w:val="auto"/>
              </w:rPr>
              <w:t>Net income (loss) per share attributable to common stockholders, basic</w:t>
            </w:r>
          </w:p>
        </w:tc>
        <w:tc>
          <w:tcPr>
            <w:tcW w:w="1380" w:type="dxa"/>
            <w:vAlign w:val="bottom"/>
          </w:tcPr>
          <w:p>
            <w:pPr>
              <w:jc w:val="right"/>
              <w:ind w:right="123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156"/>
              <w:spacing w:after="0"/>
              <w:rPr>
                <w:sz w:val="20"/>
                <w:szCs w:val="20"/>
                <w:color w:val="auto"/>
              </w:rPr>
            </w:pPr>
            <w:r>
              <w:rPr>
                <w:rFonts w:ascii="Arial" w:cs="Arial" w:eastAsia="Arial" w:hAnsi="Arial"/>
                <w:sz w:val="13"/>
                <w:szCs w:val="13"/>
                <w:color w:val="auto"/>
              </w:rPr>
              <w:t>(0.42)</w:t>
            </w:r>
          </w:p>
        </w:tc>
        <w:tc>
          <w:tcPr>
            <w:tcW w:w="1320" w:type="dxa"/>
            <w:vAlign w:val="bottom"/>
          </w:tcPr>
          <w:p>
            <w:pPr>
              <w:jc w:val="right"/>
              <w:ind w:right="97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0.70</w:t>
            </w:r>
          </w:p>
        </w:tc>
        <w:tc>
          <w:tcPr>
            <w:tcW w:w="0" w:type="dxa"/>
            <w:vAlign w:val="bottom"/>
          </w:tcPr>
          <w:p>
            <w:pPr>
              <w:spacing w:after="0"/>
              <w:rPr>
                <w:sz w:val="1"/>
                <w:szCs w:val="1"/>
                <w:color w:val="auto"/>
              </w:rPr>
            </w:pPr>
          </w:p>
        </w:tc>
      </w:tr>
      <w:tr>
        <w:trPr>
          <w:trHeight w:val="172"/>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per share attributable to common stockholders, diluted</w:t>
            </w:r>
          </w:p>
        </w:tc>
        <w:tc>
          <w:tcPr>
            <w:tcW w:w="1380" w:type="dxa"/>
            <w:vAlign w:val="bottom"/>
            <w:shd w:val="clear" w:color="auto" w:fill="CCEEFF"/>
          </w:tcPr>
          <w:p>
            <w:pPr>
              <w:jc w:val="right"/>
              <w:ind w:right="123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(0.42)</w:t>
            </w:r>
          </w:p>
        </w:tc>
        <w:tc>
          <w:tcPr>
            <w:tcW w:w="1320" w:type="dxa"/>
            <w:vAlign w:val="bottom"/>
            <w:shd w:val="clear" w:color="auto" w:fill="CCEEFF"/>
          </w:tcPr>
          <w:p>
            <w:pPr>
              <w:jc w:val="right"/>
              <w:ind w:right="97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0.68</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20" w:firstLine="5"/>
        <w:spacing w:after="0" w:line="267" w:lineRule="auto"/>
        <w:tabs>
          <w:tab w:leader="none" w:pos="2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Company has an undetermined amount of contingently issuable shares related to the Growth Earnout Payment. The conditions to satisfy the issuance of these shares are not met yet, as these shares will be evaluated for issuance at a future date based off of conditions that will be assessed at that point in time. These contingently issuable shares are excluded from the diluted EPS calculation.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2580" w:type="dxa"/>
            <w:vAlign w:val="bottom"/>
            <w:gridSpan w:val="2"/>
          </w:tcPr>
          <w:p>
            <w:pPr>
              <w:ind w:left="160"/>
              <w:spacing w:after="0"/>
              <w:rPr>
                <w:sz w:val="20"/>
                <w:szCs w:val="20"/>
                <w:color w:val="auto"/>
              </w:rPr>
            </w:pPr>
            <w:r>
              <w:rPr>
                <w:rFonts w:ascii="Arial" w:cs="Arial" w:eastAsia="Arial" w:hAnsi="Arial"/>
                <w:sz w:val="13"/>
                <w:szCs w:val="13"/>
                <w:b w:val="1"/>
                <w:bCs w:val="1"/>
                <w:color w:val="auto"/>
              </w:rPr>
              <w:t>Nine months ended September 30,</w:t>
            </w:r>
          </w:p>
        </w:tc>
        <w:tc>
          <w:tcPr>
            <w:tcW w:w="218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rPr>
              <w:t>Year ended December 31, 2021</w:t>
            </w:r>
          </w:p>
        </w:tc>
        <w:tc>
          <w:tcPr>
            <w:tcW w:w="0" w:type="dxa"/>
            <w:vAlign w:val="bottom"/>
          </w:tcPr>
          <w:p>
            <w:pPr>
              <w:spacing w:after="0"/>
              <w:rPr>
                <w:sz w:val="1"/>
                <w:szCs w:val="1"/>
                <w:color w:val="auto"/>
              </w:rPr>
            </w:pPr>
          </w:p>
        </w:tc>
      </w:tr>
      <w:tr>
        <w:trPr>
          <w:trHeight w:val="168"/>
        </w:trPr>
        <w:tc>
          <w:tcPr>
            <w:tcW w:w="6520" w:type="dxa"/>
            <w:vAlign w:val="bottom"/>
            <w:tcBorders>
              <w:bottom w:val="single" w:sz="8" w:color="CCEEFF"/>
            </w:tcBorders>
          </w:tcPr>
          <w:p>
            <w:pPr>
              <w:spacing w:after="0"/>
              <w:rPr>
                <w:sz w:val="14"/>
                <w:szCs w:val="14"/>
                <w:color w:val="auto"/>
              </w:rPr>
            </w:pPr>
          </w:p>
        </w:tc>
        <w:tc>
          <w:tcPr>
            <w:tcW w:w="2180" w:type="dxa"/>
            <w:vAlign w:val="bottom"/>
            <w:tcBorders>
              <w:bottom w:val="single" w:sz="8" w:color="auto"/>
            </w:tcBorders>
          </w:tcPr>
          <w:p>
            <w:pPr>
              <w:jc w:val="right"/>
              <w:ind w:right="896"/>
              <w:spacing w:after="0"/>
              <w:rPr>
                <w:sz w:val="20"/>
                <w:szCs w:val="20"/>
                <w:color w:val="auto"/>
              </w:rPr>
            </w:pPr>
            <w:r>
              <w:rPr>
                <w:rFonts w:ascii="Arial" w:cs="Arial" w:eastAsia="Arial" w:hAnsi="Arial"/>
                <w:sz w:val="13"/>
                <w:szCs w:val="13"/>
                <w:b w:val="1"/>
                <w:bCs w:val="1"/>
                <w:color w:val="auto"/>
              </w:rPr>
              <w:t>2022</w:t>
            </w:r>
          </w:p>
        </w:tc>
        <w:tc>
          <w:tcPr>
            <w:tcW w:w="400" w:type="dxa"/>
            <w:vAlign w:val="bottom"/>
            <w:tcBorders>
              <w:bottom w:val="single" w:sz="8" w:color="CCEEFF"/>
            </w:tcBorders>
          </w:tcPr>
          <w:p>
            <w:pPr>
              <w:spacing w:after="0"/>
              <w:rPr>
                <w:sz w:val="14"/>
                <w:szCs w:val="14"/>
                <w:color w:val="auto"/>
              </w:rPr>
            </w:pPr>
          </w:p>
        </w:tc>
        <w:tc>
          <w:tcPr>
            <w:tcW w:w="2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The weighted-average shares for pro forma diluted earnings per share was computed as below:</w:t>
            </w:r>
          </w:p>
        </w:tc>
        <w:tc>
          <w:tcPr>
            <w:tcW w:w="2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520" w:type="dxa"/>
            <w:vAlign w:val="bottom"/>
          </w:tcPr>
          <w:p>
            <w:pPr>
              <w:ind w:left="100"/>
              <w:spacing w:after="0"/>
              <w:rPr>
                <w:sz w:val="20"/>
                <w:szCs w:val="20"/>
                <w:color w:val="auto"/>
              </w:rPr>
            </w:pPr>
            <w:r>
              <w:rPr>
                <w:rFonts w:ascii="Arial" w:cs="Arial" w:eastAsia="Arial" w:hAnsi="Arial"/>
                <w:sz w:val="13"/>
                <w:szCs w:val="13"/>
                <w:color w:val="auto"/>
              </w:rPr>
              <w:t>Historical Westwood weighted-average shares outstanding</w:t>
            </w:r>
          </w:p>
        </w:tc>
        <w:tc>
          <w:tcPr>
            <w:tcW w:w="2180" w:type="dxa"/>
            <w:vAlign w:val="bottom"/>
          </w:tcPr>
          <w:p>
            <w:pPr>
              <w:jc w:val="right"/>
              <w:spacing w:after="0"/>
              <w:rPr>
                <w:sz w:val="20"/>
                <w:szCs w:val="20"/>
                <w:color w:val="auto"/>
              </w:rPr>
            </w:pPr>
            <w:r>
              <w:rPr>
                <w:rFonts w:ascii="Arial" w:cs="Arial" w:eastAsia="Arial" w:hAnsi="Arial"/>
                <w:sz w:val="13"/>
                <w:szCs w:val="13"/>
                <w:color w:val="auto"/>
              </w:rPr>
              <w:t>7,867,555</w:t>
            </w:r>
          </w:p>
        </w:tc>
        <w:tc>
          <w:tcPr>
            <w:tcW w:w="4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7,875,395</w:t>
            </w:r>
          </w:p>
        </w:tc>
        <w:tc>
          <w:tcPr>
            <w:tcW w:w="0" w:type="dxa"/>
            <w:vAlign w:val="bottom"/>
          </w:tcPr>
          <w:p>
            <w:pPr>
              <w:spacing w:after="0"/>
              <w:rPr>
                <w:sz w:val="1"/>
                <w:szCs w:val="1"/>
                <w:color w:val="auto"/>
              </w:rPr>
            </w:pPr>
          </w:p>
        </w:tc>
      </w:tr>
      <w:tr>
        <w:trPr>
          <w:trHeight w:val="172"/>
        </w:trPr>
        <w:tc>
          <w:tcPr>
            <w:tcW w:w="6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Historical Westwood dilutive potential shares from unvested restricted shares</w:t>
            </w:r>
          </w:p>
        </w:tc>
        <w:tc>
          <w:tcPr>
            <w:tcW w:w="25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52,577</w:t>
            </w:r>
          </w:p>
        </w:tc>
        <w:tc>
          <w:tcPr>
            <w:tcW w:w="0" w:type="dxa"/>
            <w:vAlign w:val="bottom"/>
          </w:tcPr>
          <w:p>
            <w:pPr>
              <w:spacing w:after="0"/>
              <w:rPr>
                <w:sz w:val="1"/>
                <w:szCs w:val="1"/>
                <w:color w:val="auto"/>
              </w:rPr>
            </w:pPr>
          </w:p>
        </w:tc>
      </w:tr>
      <w:tr>
        <w:trPr>
          <w:trHeight w:val="168"/>
        </w:trPr>
        <w:tc>
          <w:tcPr>
            <w:tcW w:w="6520" w:type="dxa"/>
            <w:vAlign w:val="bottom"/>
          </w:tcPr>
          <w:p>
            <w:pPr>
              <w:ind w:left="100"/>
              <w:spacing w:after="0"/>
              <w:rPr>
                <w:sz w:val="20"/>
                <w:szCs w:val="20"/>
                <w:color w:val="auto"/>
              </w:rPr>
            </w:pPr>
            <w:r>
              <w:rPr>
                <w:rFonts w:ascii="Arial" w:cs="Arial" w:eastAsia="Arial" w:hAnsi="Arial"/>
                <w:sz w:val="13"/>
                <w:szCs w:val="13"/>
                <w:color w:val="auto"/>
              </w:rPr>
              <w:t>Dilutive potential shares from unvested restricted shares as if the Acquisition had occurred January 1, 2021(1)</w:t>
            </w:r>
          </w:p>
        </w:tc>
        <w:tc>
          <w:tcPr>
            <w:tcW w:w="258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2180" w:type="dxa"/>
            <w:vAlign w:val="bottom"/>
          </w:tcPr>
          <w:p>
            <w:pPr>
              <w:jc w:val="right"/>
              <w:spacing w:after="0"/>
              <w:rPr>
                <w:sz w:val="20"/>
                <w:szCs w:val="20"/>
                <w:color w:val="auto"/>
              </w:rPr>
            </w:pPr>
            <w:r>
              <w:rPr>
                <w:rFonts w:ascii="Arial" w:cs="Arial" w:eastAsia="Arial" w:hAnsi="Arial"/>
                <w:sz w:val="13"/>
                <w:szCs w:val="13"/>
                <w:color w:val="auto"/>
              </w:rPr>
              <w:t>195,926</w:t>
            </w:r>
          </w:p>
        </w:tc>
        <w:tc>
          <w:tcPr>
            <w:tcW w:w="0" w:type="dxa"/>
            <w:vAlign w:val="bottom"/>
          </w:tcPr>
          <w:p>
            <w:pPr>
              <w:spacing w:after="0"/>
              <w:rPr>
                <w:sz w:val="1"/>
                <w:szCs w:val="1"/>
                <w:color w:val="auto"/>
              </w:rPr>
            </w:pPr>
          </w:p>
        </w:tc>
      </w:tr>
      <w:tr>
        <w:trPr>
          <w:trHeight w:val="188"/>
        </w:trPr>
        <w:tc>
          <w:tcPr>
            <w:tcW w:w="6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Total</w:t>
            </w: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7,867,555</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8,123,898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right="160" w:firstLine="5"/>
        <w:spacing w:after="0" w:line="281" w:lineRule="auto"/>
        <w:tabs>
          <w:tab w:leader="none" w:pos="2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As the Company has a net loss for the nine months ended September 30, 2022, the impact of any additional dilutive shares would be anti-dilutive, as such, no additional shares are included. The dilutive potential shares included for the year ended December 31, 2021 are related to the 468,607 shares granted. See footnote 6(D) for more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sectPr>
      <w:pgSz w:w="11900" w:h="16838" w:orient="portrait"/>
      <w:cols w:equalWidth="0" w:num="1">
        <w:col w:w="11280"/>
      </w:cols>
      <w:pgMar w:left="300" w:top="21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o"/>
      <w:numFmt w:val="bullet"/>
      <w:start w:val="1"/>
    </w:lvl>
  </w:abstractNum>
  <w:abstractNum w:abstractNumId="1">
    <w:nsid w:val="109CF92E"/>
    <w:multiLevelType w:val="hybridMultilevel"/>
    <w:lvl w:ilvl="0">
      <w:lvlJc w:val="left"/>
      <w:lvlText w:val="%1."/>
      <w:numFmt w:val="decimal"/>
      <w:start w:val="2"/>
    </w:lvl>
  </w:abstractNum>
  <w:abstractNum w:abstractNumId="2">
    <w:nsid w:val="DED7263"/>
    <w:multiLevelType w:val="hybridMultilevel"/>
    <w:lvl w:ilvl="0">
      <w:lvlJc w:val="left"/>
      <w:lvlText w:val="%1."/>
      <w:numFmt w:val="decimal"/>
      <w:start w:val="3"/>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0"/>
    </w:lvl>
    <w:lvl w:ilvl="1">
      <w:lvlJc w:val="left"/>
      <w:lvlText w:val="(%2)"/>
      <w:numFmt w:val="lowerLetter"/>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lowerLetter"/>
      <w:start w:val="4"/>
    </w:lvl>
  </w:abstractNum>
  <w:abstractNum w:abstractNumId="8">
    <w:nsid w:val="25E45D32"/>
    <w:multiLevelType w:val="hybridMultilevel"/>
    <w:lvl w:ilvl="0">
      <w:lvlJc w:val="left"/>
      <w:lvlText w:val="%1."/>
      <w:numFmt w:val="lowerRoman"/>
      <w:start w:val="2"/>
    </w:lvl>
  </w:abstractNum>
  <w:abstractNum w:abstractNumId="9">
    <w:nsid w:val="519B500D"/>
    <w:multiLevelType w:val="hybridMultilevel"/>
    <w:lvl w:ilvl="0">
      <w:lvlJc w:val="left"/>
      <w:lvlText w:val="%1."/>
      <w:numFmt w:val="lowerRoman"/>
      <w:start w:val="2"/>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5"/>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upperLetter"/>
      <w:start w:val="1"/>
    </w:lvl>
  </w:abstractNum>
  <w:abstractNum w:abstractNumId="14">
    <w:nsid w:val="62BBD95A"/>
    <w:multiLevelType w:val="hybridMultilevel"/>
    <w:lvl w:ilvl="0">
      <w:lvlJc w:val="left"/>
      <w:lvlText w:val="%1."/>
      <w:numFmt w:val="upperLetter"/>
      <w:start w:val="3"/>
    </w:lvl>
  </w:abstractNum>
  <w:abstractNum w:abstractNumId="15">
    <w:nsid w:val="436C6125"/>
    <w:multiLevelType w:val="hybridMultilevel"/>
    <w:lvl w:ilvl="0">
      <w:lvlJc w:val="left"/>
      <w:lvlText w:val="%1."/>
      <w:numFmt w:val="upperLetter"/>
      <w:start w:val="4"/>
    </w:lvl>
  </w:abstractNum>
  <w:abstractNum w:abstractNumId="16">
    <w:nsid w:val="628C895D"/>
    <w:multiLevelType w:val="hybridMultilevel"/>
    <w:lvl w:ilvl="0">
      <w:lvlJc w:val="left"/>
      <w:lvlText w:val="%1."/>
      <w:numFmt w:val="upperLetter"/>
      <w:start w:val="5"/>
    </w:lvl>
  </w:abstractNum>
  <w:abstractNum w:abstractNumId="17">
    <w:nsid w:val="333AB105"/>
    <w:multiLevelType w:val="hybridMultilevel"/>
    <w:lvl w:ilvl="0">
      <w:lvlJc w:val="left"/>
      <w:lvlText w:val="%1."/>
      <w:numFmt w:val="upperLetter"/>
      <w:start w:val="6"/>
    </w:lvl>
  </w:abstractNum>
  <w:abstractNum w:abstractNumId="18">
    <w:nsid w:val="721DA317"/>
    <w:multiLevelType w:val="hybridMultilevel"/>
    <w:lvl w:ilvl="0">
      <w:lvlJc w:val="left"/>
      <w:lvlText w:val="%1."/>
      <w:numFmt w:val="upperLetter"/>
      <w:start w:val="1"/>
    </w:lvl>
  </w:abstractNum>
  <w:abstractNum w:abstractNumId="19">
    <w:nsid w:val="2443A858"/>
    <w:multiLevelType w:val="hybridMultilevel"/>
    <w:lvl w:ilvl="0">
      <w:lvlJc w:val="left"/>
      <w:lvlText w:val="%1."/>
      <w:numFmt w:val="upperLetter"/>
      <w:start w:val="2"/>
    </w:lvl>
  </w:abstractNum>
  <w:abstractNum w:abstractNumId="20">
    <w:nsid w:val="2D1D5AE9"/>
    <w:multiLevelType w:val="hybridMultilevel"/>
    <w:lvl w:ilvl="0">
      <w:lvlJc w:val="left"/>
      <w:lvlText w:val="%1."/>
      <w:numFmt w:val="upperLetter"/>
      <w:start w:val="4"/>
    </w:lvl>
  </w:abstractNum>
  <w:abstractNum w:abstractNumId="21">
    <w:nsid w:val="6763845E"/>
    <w:multiLevelType w:val="hybridMultilevel"/>
    <w:lvl w:ilvl="0">
      <w:lvlJc w:val="left"/>
      <w:lvlText w:val="%1."/>
      <w:numFmt w:val="upperLetter"/>
      <w:start w:val="5"/>
    </w:lvl>
  </w:abstractNum>
  <w:abstractNum w:abstractNumId="22">
    <w:nsid w:val="75A2A8D4"/>
    <w:multiLevelType w:val="hybridMultilevel"/>
    <w:lvl w:ilvl="0">
      <w:lvlJc w:val="left"/>
      <w:lvlText w:val="%1."/>
      <w:numFmt w:val="upperLetter"/>
      <w:start w:val="6"/>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2023-02-01T15:20:35Z</dcterms:created>
  <dcterms:modified xsi:type="dcterms:W3CDTF">2023-02-01T15:20:35Z</dcterms:modified>
</cp:coreProperties>
</file>