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1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40"/>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Filed by a Party other than the Registrant </w:t>
      </w:r>
      <w:r>
        <w:rPr>
          <w:rFonts w:ascii="MS PGothic" w:cs="MS PGothic" w:eastAsia="MS PGothic" w:hAnsi="MS PGothic"/>
          <w:sz w:val="14"/>
          <w:szCs w:val="14"/>
          <w:color w:val="auto"/>
        </w:rPr>
        <w:t>☐</w:t>
      </w:r>
    </w:p>
    <w:p>
      <w:pPr>
        <w:spacing w:after="0" w:line="32" w:lineRule="exact"/>
        <w:rPr>
          <w:sz w:val="24"/>
          <w:szCs w:val="24"/>
          <w:color w:val="auto"/>
        </w:rPr>
      </w:pPr>
    </w:p>
    <w:p>
      <w:pPr>
        <w:ind w:left="40"/>
        <w:spacing w:after="0" w:line="322" w:lineRule="exact"/>
        <w:tabs>
          <w:tab w:leader="none" w:pos="2060" w:val="left"/>
        </w:tabs>
        <w:rPr>
          <w:sz w:val="20"/>
          <w:szCs w:val="20"/>
          <w:color w:val="auto"/>
        </w:rPr>
      </w:pPr>
      <w:r>
        <w:rPr>
          <w:rFonts w:ascii="Times New Roman" w:cs="Times New Roman" w:eastAsia="Times New Roman" w:hAnsi="Times New Roman"/>
          <w:sz w:val="28"/>
          <w:szCs w:val="28"/>
          <w:color w:val="auto"/>
          <w:vertAlign w:val="subscript"/>
        </w:rPr>
        <w:t>Check the appropriate box:</w:t>
      </w:r>
      <w:r>
        <w:rPr>
          <w:rFonts w:ascii="Times New Roman" w:cs="Times New Roman" w:eastAsia="Times New Roman" w:hAnsi="Times New Roman"/>
          <w:sz w:val="14"/>
          <w:szCs w:val="14"/>
          <w:color w:val="auto"/>
        </w:rPr>
        <w:t xml:space="preserve">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Preliminary Proxy Statement</w:t>
      </w:r>
    </w:p>
    <w:p>
      <w:pPr>
        <w:spacing w:after="0" w:line="43"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Confidential, for Use of the Commission Only (as permitted by Rule 14a-6(e)(2))</w:t>
      </w:r>
    </w:p>
    <w:p>
      <w:pPr>
        <w:spacing w:after="0" w:line="177" w:lineRule="exact"/>
        <w:rPr>
          <w:sz w:val="24"/>
          <w:szCs w:val="24"/>
          <w:color w:val="auto"/>
        </w:rPr>
      </w:pPr>
    </w:p>
    <w:p>
      <w:pPr>
        <w:ind w:left="480" w:hanging="454"/>
        <w:spacing w:after="0"/>
        <w:tabs>
          <w:tab w:leader="none" w:pos="480" w:val="left"/>
        </w:tabs>
        <w:numPr>
          <w:ilvl w:val="0"/>
          <w:numId w:val="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Definitive Proxy Statement</w:t>
      </w:r>
    </w:p>
    <w:p>
      <w:pPr>
        <w:spacing w:after="0" w:line="163"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76" w:lineRule="exact"/>
        <w:rPr>
          <w:rFonts w:ascii="MS PGothic" w:cs="MS PGothic" w:eastAsia="MS PGothic" w:hAnsi="MS PGothic"/>
          <w:sz w:val="14"/>
          <w:szCs w:val="1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§240.14a-12</w:t>
      </w:r>
    </w:p>
    <w:p>
      <w:pPr>
        <w:spacing w:after="0" w:line="37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53" w:lineRule="exact"/>
        <w:rPr>
          <w:sz w:val="24"/>
          <w:szCs w:val="24"/>
          <w:color w:val="auto"/>
        </w:rPr>
      </w:pPr>
    </w:p>
    <w:p>
      <w:pPr>
        <w:ind w:left="480" w:hanging="454"/>
        <w:spacing w:after="0"/>
        <w:tabs>
          <w:tab w:leader="none" w:pos="480" w:val="left"/>
        </w:tabs>
        <w:numPr>
          <w:ilvl w:val="0"/>
          <w:numId w:val="4"/>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color w:val="auto"/>
        </w:rPr>
        <w:t>No fee required</w:t>
      </w:r>
    </w:p>
    <w:p>
      <w:pPr>
        <w:spacing w:after="0" w:line="163"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below per Exchange Act Rules 14a-6(i)(1) and 0-11</w:t>
      </w:r>
    </w:p>
    <w:p>
      <w:pPr>
        <w:spacing w:after="0" w:line="176" w:lineRule="exact"/>
        <w:rPr>
          <w:rFonts w:ascii="MS PGothic" w:cs="MS PGothic" w:eastAsia="MS PGothic" w:hAnsi="MS PGothic"/>
          <w:sz w:val="14"/>
          <w:szCs w:val="14"/>
          <w:color w:val="auto"/>
        </w:rPr>
      </w:pPr>
    </w:p>
    <w:p>
      <w:pPr>
        <w:ind w:left="940" w:hanging="455"/>
        <w:spacing w:after="0"/>
        <w:tabs>
          <w:tab w:leader="none" w:pos="940" w:val="left"/>
        </w:tabs>
        <w:numPr>
          <w:ilvl w:val="2"/>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Title of each class of securities to which transaction applies: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9"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number of securities to which transaction applies:</w:t>
      </w:r>
    </w:p>
    <w:p>
      <w:pPr>
        <w:spacing w:after="0" w:line="392" w:lineRule="exact"/>
        <w:rPr>
          <w:rFonts w:ascii="Times New Roman" w:cs="Times New Roman" w:eastAsia="Times New Roman" w:hAnsi="Times New Roman"/>
          <w:sz w:val="14"/>
          <w:szCs w:val="14"/>
          <w:color w:val="auto"/>
        </w:rPr>
      </w:pPr>
    </w:p>
    <w:p>
      <w:pPr>
        <w:ind w:left="940" w:right="120" w:hanging="469"/>
        <w:spacing w:after="0" w:line="282" w:lineRule="auto"/>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unit price or other underlying value of transaction computed pursuant to Exchange Act Rule 0-11 (set forth the amount on which the filing fee is calculated and state how it was determined):</w:t>
      </w:r>
    </w:p>
    <w:p>
      <w:pPr>
        <w:spacing w:after="0" w:line="350"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Proposed maximum aggregate value of transaction:</w:t>
      </w:r>
    </w:p>
    <w:p>
      <w:pPr>
        <w:spacing w:after="0" w:line="392" w:lineRule="exact"/>
        <w:rPr>
          <w:rFonts w:ascii="Times New Roman" w:cs="Times New Roman" w:eastAsia="Times New Roman" w:hAnsi="Times New Roman"/>
          <w:sz w:val="14"/>
          <w:szCs w:val="14"/>
          <w:color w:val="auto"/>
        </w:rPr>
      </w:pPr>
    </w:p>
    <w:p>
      <w:pPr>
        <w:ind w:left="960" w:hanging="489"/>
        <w:spacing w:after="0"/>
        <w:tabs>
          <w:tab w:leader="none" w:pos="96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fee paid:</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35" w:lineRule="exact"/>
        <w:rPr>
          <w:rFonts w:ascii="Times New Roman" w:cs="Times New Roman" w:eastAsia="Times New Roman" w:hAnsi="Times New Roman"/>
          <w:sz w:val="14"/>
          <w:szCs w:val="14"/>
          <w:color w:val="auto"/>
        </w:rPr>
      </w:pPr>
    </w:p>
    <w:p>
      <w:pPr>
        <w:ind w:left="480" w:hanging="454"/>
        <w:spacing w:after="0"/>
        <w:tabs>
          <w:tab w:leader="none" w:pos="4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176" w:lineRule="exact"/>
        <w:rPr>
          <w:rFonts w:ascii="MS PGothic" w:cs="MS PGothic" w:eastAsia="MS PGothic" w:hAnsi="MS PGothic"/>
          <w:sz w:val="14"/>
          <w:szCs w:val="14"/>
          <w:color w:val="auto"/>
        </w:rPr>
      </w:pPr>
    </w:p>
    <w:p>
      <w:pPr>
        <w:ind w:left="480" w:hanging="454"/>
        <w:spacing w:after="0" w:line="282" w:lineRule="auto"/>
        <w:tabs>
          <w:tab w:leader="none" w:pos="480" w:val="left"/>
        </w:tabs>
        <w:numPr>
          <w:ilvl w:val="0"/>
          <w:numId w:val="6"/>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1" w:lineRule="exact"/>
        <w:rPr>
          <w:rFonts w:ascii="MS PGothic" w:cs="MS PGothic" w:eastAsia="MS PGothic" w:hAnsi="MS PGothic"/>
          <w:sz w:val="14"/>
          <w:szCs w:val="14"/>
          <w:color w:val="auto"/>
        </w:rPr>
      </w:pPr>
    </w:p>
    <w:p>
      <w:pPr>
        <w:ind w:left="940" w:hanging="469"/>
        <w:spacing w:after="0"/>
        <w:tabs>
          <w:tab w:leader="none" w:pos="9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Previously Paid:</w:t>
      </w:r>
    </w:p>
    <w:p>
      <w:pPr>
        <w:spacing w:after="0" w:line="392"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Form, Schedule or Registration Statement No.:</w:t>
      </w:r>
    </w:p>
    <w:p>
      <w:pPr>
        <w:spacing w:after="0" w:line="392"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Filing Party:</w:t>
      </w:r>
    </w:p>
    <w:p>
      <w:pPr>
        <w:spacing w:after="0" w:line="200" w:lineRule="exact"/>
        <w:rPr>
          <w:rFonts w:ascii="Times New Roman" w:cs="Times New Roman" w:eastAsia="Times New Roman" w:hAnsi="Times New Roman"/>
          <w:sz w:val="14"/>
          <w:szCs w:val="14"/>
          <w:color w:val="auto"/>
        </w:rPr>
      </w:pPr>
    </w:p>
    <w:p>
      <w:pPr>
        <w:spacing w:after="0" w:line="206" w:lineRule="exact"/>
        <w:rPr>
          <w:rFonts w:ascii="Times New Roman" w:cs="Times New Roman" w:eastAsia="Times New Roman" w:hAnsi="Times New Roman"/>
          <w:sz w:val="14"/>
          <w:szCs w:val="14"/>
          <w:color w:val="auto"/>
        </w:rPr>
      </w:pPr>
    </w:p>
    <w:p>
      <w:pPr>
        <w:ind w:left="940" w:hanging="469"/>
        <w:spacing w:after="0"/>
        <w:tabs>
          <w:tab w:leader="none" w:pos="94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-3447415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-3096260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-2290445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-541655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040" w:right="439" w:bottom="1440" w:gutter="0" w:footer="0" w:header="0"/>
        </w:sectPr>
      </w:pPr>
    </w:p>
    <w:bookmarkStart w:id="1" w:name="page2"/>
    <w:bookmarkEnd w:id="1"/>
    <w:p>
      <w:pPr>
        <w:spacing w:after="0" w:line="3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3062605</wp:posOffset>
            </wp:positionH>
            <wp:positionV relativeFrom="page">
              <wp:posOffset>448945</wp:posOffset>
            </wp:positionV>
            <wp:extent cx="1423035" cy="4540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423035" cy="4540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00" w:lineRule="exact"/>
        <w:rPr>
          <w:sz w:val="20"/>
          <w:szCs w:val="20"/>
          <w:color w:val="auto"/>
        </w:rPr>
      </w:pPr>
    </w:p>
    <w:p>
      <w:pPr>
        <w:spacing w:after="0" w:line="376"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 xml:space="preserve">You are cordially invited to virtually attend the 2023 Annual Meeting of Stockholders of Westwood Holdings Group, Inc., which will be held online on Wednesday, April 26, 2023, at 10:00 a.m., Central Time, at </w:t>
      </w:r>
      <w:r>
        <w:rPr>
          <w:rFonts w:ascii="Times New Roman" w:cs="Times New Roman" w:eastAsia="Times New Roman" w:hAnsi="Times New Roman"/>
          <w:sz w:val="18"/>
          <w:szCs w:val="18"/>
          <w:i w:val="1"/>
          <w:iCs w:val="1"/>
          <w:u w:val="single" w:color="auto"/>
          <w:color w:val="auto"/>
        </w:rPr>
        <w:t>www.virtualshareholdermeeting.com/WHG2023</w:t>
      </w:r>
      <w:r>
        <w:rPr>
          <w:rFonts w:ascii="Times New Roman" w:cs="Times New Roman" w:eastAsia="Times New Roman" w:hAnsi="Times New Roman"/>
          <w:sz w:val="18"/>
          <w:szCs w:val="18"/>
          <w:color w:val="auto"/>
        </w:rPr>
        <w:t>. The official Notice of Annual Meeting together with a proxy statement and proxy card are enclosed. Please give this information your careful attention.</w:t>
      </w:r>
    </w:p>
    <w:p>
      <w:pPr>
        <w:spacing w:after="0" w:line="82"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Westwood invites all stockholders to attend the virtual meeting. Whether or not you expect to virtually attend the annual meeting, we urge you to complete, sign, date and promptly return the accompanying proxy card in the enclosed postage-paid envelope or vote by Internet by following the instructions in the Notice of Annual Meeting, to ensure your representation at the meeting. You can revoke your proxy at any time before it is voted by delivering written notice to our Corporate Secretary at Westwood’s principal executive office, by signing and mailing to us a proxy card bearing a later date, by changing your vote by Internet (if you voted by Internet) or by virtually attending the meeting and voting then.</w:t>
      </w:r>
    </w:p>
    <w:p>
      <w:pPr>
        <w:spacing w:after="0" w:line="17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Sincerely,</w:t>
      </w:r>
    </w:p>
    <w:p>
      <w:pPr>
        <w:spacing w:after="0" w:line="7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-85090</wp:posOffset>
            </wp:positionV>
            <wp:extent cx="977265"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2"/>
          <w:szCs w:val="12"/>
          <w:color w:val="auto"/>
        </w:rPr>
        <w:t>200 CRESCENT COURT, SUITE 1200 • DALLAS, TEXAS 75201 • T.214.756.6900 • F.214.756.6979 • westwoodgroup.com</w:t>
      </w:r>
    </w:p>
    <w:p>
      <w:pPr>
        <w:sectPr>
          <w:pgSz w:w="11900" w:h="16838" w:orient="portrait"/>
          <w:cols w:equalWidth="0" w:num="1">
            <w:col w:w="11080"/>
          </w:cols>
          <w:pgMar w:left="320" w:top="1440"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90"/>
        </w:trPr>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60" w:type="dxa"/>
            <w:vAlign w:val="bottom"/>
            <w:gridSpan w:val="9"/>
          </w:tcPr>
          <w:p>
            <w:pPr>
              <w:ind w:left="6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162"/>
        </w:trPr>
        <w:tc>
          <w:tcPr>
            <w:tcW w:w="10280" w:type="dxa"/>
            <w:vAlign w:val="bottom"/>
            <w:gridSpan w:val="38"/>
          </w:tcPr>
          <w:p>
            <w:pPr>
              <w:spacing w:after="0" w:line="142" w:lineRule="exact"/>
              <w:rPr>
                <w:sz w:val="20"/>
                <w:szCs w:val="20"/>
                <w:color w:val="auto"/>
              </w:rPr>
            </w:pPr>
            <w:r>
              <w:rPr>
                <w:rFonts w:ascii="Times New Roman" w:cs="Times New Roman" w:eastAsia="Times New Roman" w:hAnsi="Times New Roman"/>
                <w:sz w:val="16"/>
                <w:szCs w:val="16"/>
                <w:color w:val="0000FF"/>
              </w:rPr>
              <w:t>NOTICE OF ANNUAL MEETING OF STOCKHOLDERS</w:t>
            </w:r>
          </w:p>
        </w:tc>
        <w:tc>
          <w:tcPr>
            <w:tcW w:w="520" w:type="dxa"/>
            <w:vAlign w:val="bottom"/>
          </w:tcPr>
          <w:p>
            <w:pPr>
              <w:spacing w:after="0"/>
              <w:rPr>
                <w:sz w:val="14"/>
                <w:szCs w:val="14"/>
                <w:color w:val="auto"/>
              </w:rPr>
            </w:pPr>
          </w:p>
        </w:tc>
        <w:tc>
          <w:tcPr>
            <w:tcW w:w="12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6"/>
                <w:szCs w:val="16"/>
                <w:u w:val="single" w:color="auto"/>
                <w:color w:val="0000FF"/>
              </w:rPr>
              <w:t>i</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2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6"/>
                <w:szCs w:val="16"/>
                <w:color w:val="0000FF"/>
                <w:w w:val="99"/>
              </w:rPr>
              <w:t>NOTICE OF INTERNET AVAILABILITY OF PROXY MATERIALS</w:t>
            </w:r>
          </w:p>
        </w:tc>
        <w:tc>
          <w:tcPr>
            <w:tcW w:w="5660" w:type="dxa"/>
            <w:vAlign w:val="bottom"/>
            <w:gridSpan w:val="9"/>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6"/>
                <w:szCs w:val="16"/>
                <w:color w:val="0000FF"/>
                <w:w w:val="89"/>
              </w:rPr>
              <w:t>ii</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9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GENERAL QUESTIONS AND ANSWERS</w:t>
            </w:r>
          </w:p>
        </w:tc>
        <w:tc>
          <w:tcPr>
            <w:tcW w:w="7360" w:type="dxa"/>
            <w:vAlign w:val="bottom"/>
            <w:gridSpan w:val="17"/>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3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The Annual Meeting</w:t>
            </w:r>
          </w:p>
        </w:tc>
        <w:tc>
          <w:tcPr>
            <w:tcW w:w="8540" w:type="dxa"/>
            <w:vAlign w:val="bottom"/>
            <w:gridSpan w:val="31"/>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4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color w:val="0000FF"/>
                <w:w w:val="98"/>
              </w:rPr>
              <w:t>Procedures for Voting</w:t>
            </w:r>
          </w:p>
        </w:tc>
        <w:tc>
          <w:tcPr>
            <w:tcW w:w="8480" w:type="dxa"/>
            <w:vAlign w:val="bottom"/>
            <w:gridSpan w:val="30"/>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Our Current Stock Ownership</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18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w w:val="99"/>
              </w:rPr>
              <w:t>Other Information</w:t>
            </w:r>
          </w:p>
        </w:tc>
        <w:tc>
          <w:tcPr>
            <w:tcW w:w="760" w:type="dxa"/>
            <w:vAlign w:val="bottom"/>
            <w:tcBorders>
              <w:top w:val="single" w:sz="8" w:color="0000FF"/>
            </w:tcBorders>
            <w:gridSpan w:val="8"/>
          </w:tcPr>
          <w:p>
            <w:pPr>
              <w:spacing w:after="0"/>
              <w:rPr>
                <w:sz w:val="17"/>
                <w:szCs w:val="17"/>
                <w:color w:val="auto"/>
              </w:rPr>
            </w:pPr>
          </w:p>
        </w:tc>
        <w:tc>
          <w:tcPr>
            <w:tcW w:w="7960" w:type="dxa"/>
            <w:vAlign w:val="bottom"/>
            <w:gridSpan w:val="25"/>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4</w:t>
            </w:r>
          </w:p>
        </w:tc>
        <w:tc>
          <w:tcPr>
            <w:tcW w:w="0" w:type="dxa"/>
            <w:vAlign w:val="bottom"/>
          </w:tcPr>
          <w:p>
            <w:pPr>
              <w:spacing w:after="0"/>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PROPOSAL 1: ELECTION OF DIRECTORS</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196"/>
        </w:trPr>
        <w:tc>
          <w:tcPr>
            <w:tcW w:w="380" w:type="dxa"/>
            <w:vAlign w:val="bottom"/>
            <w:tcBorders>
              <w:top w:val="single" w:sz="8" w:color="0000FF"/>
            </w:tcBorders>
          </w:tcPr>
          <w:p>
            <w:pPr>
              <w:spacing w:after="0"/>
              <w:rPr>
                <w:sz w:val="17"/>
                <w:szCs w:val="17"/>
                <w:color w:val="auto"/>
              </w:rPr>
            </w:pPr>
          </w:p>
        </w:tc>
        <w:tc>
          <w:tcPr>
            <w:tcW w:w="2640" w:type="dxa"/>
            <w:vAlign w:val="bottom"/>
            <w:tcBorders>
              <w:top w:val="single" w:sz="8" w:color="0000FF"/>
            </w:tcBorders>
            <w:gridSpan w:val="21"/>
          </w:tcPr>
          <w:p>
            <w:pPr>
              <w:spacing w:after="0"/>
              <w:rPr>
                <w:sz w:val="20"/>
                <w:szCs w:val="20"/>
                <w:color w:val="auto"/>
              </w:rPr>
            </w:pPr>
            <w:r>
              <w:rPr>
                <w:rFonts w:ascii="Times New Roman" w:cs="Times New Roman" w:eastAsia="Times New Roman" w:hAnsi="Times New Roman"/>
                <w:sz w:val="16"/>
                <w:szCs w:val="16"/>
                <w:color w:val="0000FF"/>
              </w:rPr>
              <w:t>Nominees</w:t>
            </w:r>
          </w:p>
        </w:tc>
        <w:tc>
          <w:tcPr>
            <w:tcW w:w="7260" w:type="dxa"/>
            <w:vAlign w:val="bottom"/>
            <w:gridSpan w:val="16"/>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6</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Corporate Governance Information</w:t>
            </w:r>
          </w:p>
        </w:tc>
        <w:tc>
          <w:tcPr>
            <w:tcW w:w="7620" w:type="dxa"/>
            <w:vAlign w:val="bottom"/>
            <w:gridSpan w:val="21"/>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Director Compensation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16"/>
                <w:szCs w:val="16"/>
                <w:color w:val="0000FF"/>
              </w:rPr>
              <w:t>EXECUTIVE OFFICERS AND OTHER KEY EMPLOYEES</w:t>
            </w:r>
          </w:p>
        </w:tc>
        <w:tc>
          <w:tcPr>
            <w:tcW w:w="6220" w:type="dxa"/>
            <w:vAlign w:val="bottom"/>
            <w:gridSpan w:val="12"/>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13</w:t>
            </w:r>
          </w:p>
        </w:tc>
        <w:tc>
          <w:tcPr>
            <w:tcW w:w="0" w:type="dxa"/>
            <w:vAlign w:val="bottom"/>
          </w:tcPr>
          <w:p>
            <w:pPr>
              <w:spacing w:after="0"/>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EXECUTIVE COMPENSATION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15</w:t>
            </w:r>
          </w:p>
        </w:tc>
        <w:tc>
          <w:tcPr>
            <w:tcW w:w="0" w:type="dxa"/>
            <w:vAlign w:val="bottom"/>
          </w:tcPr>
          <w:p>
            <w:pPr>
              <w:spacing w:after="0"/>
              <w:rPr>
                <w:sz w:val="1"/>
                <w:szCs w:val="1"/>
                <w:color w:val="auto"/>
              </w:rPr>
            </w:pPr>
          </w:p>
        </w:tc>
      </w:tr>
      <w:tr>
        <w:trPr>
          <w:trHeight w:val="20"/>
        </w:trPr>
        <w:tc>
          <w:tcPr>
            <w:tcW w:w="38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20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6"/>
                <w:szCs w:val="16"/>
                <w:color w:val="0000FF"/>
                <w:w w:val="99"/>
              </w:rPr>
              <w:t>Summary Compensation Table</w:t>
            </w:r>
          </w:p>
        </w:tc>
        <w:tc>
          <w:tcPr>
            <w:tcW w:w="7900" w:type="dxa"/>
            <w:vAlign w:val="bottom"/>
            <w:gridSpan w:val="24"/>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16</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9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color w:val="0000FF"/>
              </w:rPr>
              <w:t>Other Compensation Policies</w:t>
            </w:r>
          </w:p>
        </w:tc>
        <w:tc>
          <w:tcPr>
            <w:tcW w:w="8000" w:type="dxa"/>
            <w:vAlign w:val="bottom"/>
            <w:gridSpan w:val="26"/>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21</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w w:val="99"/>
              </w:rPr>
              <w:t>Outstanding Equity Awards</w:t>
            </w:r>
          </w:p>
        </w:tc>
        <w:tc>
          <w:tcPr>
            <w:tcW w:w="8080" w:type="dxa"/>
            <w:vAlign w:val="bottom"/>
            <w:gridSpan w:val="27"/>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23</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w w:val="99"/>
              </w:rPr>
              <w:t>Stock Incentive Plan</w:t>
            </w:r>
          </w:p>
        </w:tc>
        <w:tc>
          <w:tcPr>
            <w:tcW w:w="8560" w:type="dxa"/>
            <w:vAlign w:val="bottom"/>
            <w:gridSpan w:val="32"/>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Pay Versus Performance Disclosure</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PROPOSAL 2: RATIFICATION OF APPOINTMENT OF BDO USA, LLP AS INDEPENDENT AUDITORS</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c>
          <w:tcPr>
            <w:tcW w:w="0" w:type="dxa"/>
            <w:vAlign w:val="bottom"/>
          </w:tcPr>
          <w:p>
            <w:pPr>
              <w:spacing w:after="0"/>
              <w:rPr>
                <w:sz w:val="1"/>
                <w:szCs w:val="1"/>
                <w:color w:val="auto"/>
              </w:rPr>
            </w:pPr>
          </w:p>
        </w:tc>
      </w:tr>
      <w:tr>
        <w:trPr>
          <w:trHeight w:val="196"/>
        </w:trPr>
        <w:tc>
          <w:tcPr>
            <w:tcW w:w="380" w:type="dxa"/>
            <w:vAlign w:val="bottom"/>
            <w:tcBorders>
              <w:top w:val="single" w:sz="8" w:color="0000FF"/>
            </w:tcBorders>
          </w:tcPr>
          <w:p>
            <w:pPr>
              <w:spacing w:after="0"/>
              <w:rPr>
                <w:sz w:val="17"/>
                <w:szCs w:val="17"/>
                <w:color w:val="auto"/>
              </w:rPr>
            </w:pPr>
          </w:p>
        </w:tc>
        <w:tc>
          <w:tcPr>
            <w:tcW w:w="4180" w:type="dxa"/>
            <w:vAlign w:val="bottom"/>
            <w:tcBorders>
              <w:top w:val="single" w:sz="8" w:color="0000FF"/>
              <w:bottom w:val="single" w:sz="8" w:color="0000FF"/>
            </w:tcBorders>
            <w:gridSpan w:val="27"/>
          </w:tcPr>
          <w:p>
            <w:pPr>
              <w:spacing w:after="0"/>
              <w:rPr>
                <w:sz w:val="20"/>
                <w:szCs w:val="20"/>
                <w:color w:val="auto"/>
              </w:rPr>
            </w:pPr>
            <w:r>
              <w:rPr>
                <w:rFonts w:ascii="Times New Roman" w:cs="Times New Roman" w:eastAsia="Times New Roman" w:hAnsi="Times New Roman"/>
                <w:sz w:val="16"/>
                <w:szCs w:val="16"/>
                <w:color w:val="0000FF"/>
              </w:rPr>
              <w:t>Fees Billed by Independent Registered Public Accounting Firms</w:t>
            </w:r>
          </w:p>
        </w:tc>
        <w:tc>
          <w:tcPr>
            <w:tcW w:w="2640" w:type="dxa"/>
            <w:vAlign w:val="bottom"/>
            <w:tcBorders>
              <w:top w:val="single" w:sz="8" w:color="0000FF"/>
            </w:tcBorders>
            <w:gridSpan w:val="5"/>
          </w:tcPr>
          <w:p>
            <w:pPr>
              <w:spacing w:after="0"/>
              <w:rPr>
                <w:sz w:val="17"/>
                <w:szCs w:val="17"/>
                <w:color w:val="auto"/>
              </w:rPr>
            </w:pPr>
          </w:p>
        </w:tc>
        <w:tc>
          <w:tcPr>
            <w:tcW w:w="3080" w:type="dxa"/>
            <w:vAlign w:val="bottom"/>
            <w:gridSpan w:val="5"/>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27</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780" w:type="dxa"/>
            <w:vAlign w:val="bottom"/>
            <w:tcBorders>
              <w:bottom w:val="single" w:sz="8" w:color="0000FF"/>
            </w:tcBorders>
            <w:gridSpan w:val="37"/>
          </w:tcPr>
          <w:p>
            <w:pPr>
              <w:spacing w:after="0"/>
              <w:rPr>
                <w:sz w:val="20"/>
                <w:szCs w:val="20"/>
                <w:color w:val="auto"/>
              </w:rPr>
            </w:pPr>
            <w:r>
              <w:rPr>
                <w:rFonts w:ascii="Times New Roman" w:cs="Times New Roman" w:eastAsia="Times New Roman" w:hAnsi="Times New Roman"/>
                <w:sz w:val="16"/>
                <w:szCs w:val="16"/>
                <w:color w:val="0000FF"/>
              </w:rPr>
              <w:t>PROPOSAL 3: TO APPROVE THE NINTH AMENDED AND RESTATED WESTWOOD HOLDINGS GROUP, INC. STOCK INCENTIVE PLAN</w:t>
            </w:r>
          </w:p>
        </w:tc>
        <w:tc>
          <w:tcPr>
            <w:tcW w:w="500" w:type="dxa"/>
            <w:vAlign w:val="bottom"/>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28</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Description of the Ninth Amended and Restated Plan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30</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18"/>
          </w:tcPr>
          <w:p>
            <w:pPr>
              <w:spacing w:after="0"/>
              <w:rPr>
                <w:sz w:val="20"/>
                <w:szCs w:val="20"/>
                <w:color w:val="auto"/>
              </w:rPr>
            </w:pPr>
            <w:r>
              <w:rPr>
                <w:rFonts w:ascii="Times New Roman" w:cs="Times New Roman" w:eastAsia="Times New Roman" w:hAnsi="Times New Roman"/>
                <w:sz w:val="16"/>
                <w:szCs w:val="16"/>
                <w:color w:val="0000FF"/>
                <w:w w:val="99"/>
              </w:rPr>
              <w:t>Material Federal Tax Consequences</w:t>
            </w:r>
          </w:p>
        </w:tc>
        <w:tc>
          <w:tcPr>
            <w:tcW w:w="1120" w:type="dxa"/>
            <w:vAlign w:val="bottom"/>
            <w:tcBorders>
              <w:top w:val="single" w:sz="8" w:color="0000FF"/>
            </w:tcBorders>
            <w:gridSpan w:val="5"/>
          </w:tcPr>
          <w:p>
            <w:pPr>
              <w:spacing w:after="0"/>
              <w:rPr>
                <w:sz w:val="17"/>
                <w:szCs w:val="17"/>
                <w:color w:val="auto"/>
              </w:rPr>
            </w:pPr>
          </w:p>
        </w:tc>
        <w:tc>
          <w:tcPr>
            <w:tcW w:w="6460" w:type="dxa"/>
            <w:vAlign w:val="bottom"/>
            <w:gridSpan w:val="14"/>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PROPOSAL 4: TO CAST A NON-BINDING, ADVISORY VOTE ON THE COMPANY'S EXECUTIVE COMPENSATION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c>
          <w:tcPr>
            <w:tcW w:w="0" w:type="dxa"/>
            <w:vAlign w:val="bottom"/>
          </w:tcPr>
          <w:p>
            <w:pPr>
              <w:spacing w:after="0"/>
              <w:rPr>
                <w:sz w:val="1"/>
                <w:szCs w:val="1"/>
                <w:color w:val="auto"/>
              </w:rPr>
            </w:pPr>
          </w:p>
        </w:tc>
      </w:tr>
      <w:tr>
        <w:trPr>
          <w:trHeight w:val="196"/>
        </w:trPr>
        <w:tc>
          <w:tcPr>
            <w:tcW w:w="380" w:type="dxa"/>
            <w:vAlign w:val="bottom"/>
            <w:tcBorders>
              <w:top w:val="single" w:sz="8" w:color="0000FF"/>
            </w:tcBorders>
          </w:tcPr>
          <w:p>
            <w:pPr>
              <w:spacing w:after="0"/>
              <w:rPr>
                <w:sz w:val="17"/>
                <w:szCs w:val="17"/>
                <w:color w:val="auto"/>
              </w:rPr>
            </w:pPr>
          </w:p>
        </w:tc>
        <w:tc>
          <w:tcPr>
            <w:tcW w:w="280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6"/>
                <w:szCs w:val="16"/>
                <w:color w:val="0000FF"/>
                <w:w w:val="99"/>
              </w:rPr>
              <w:t>Advisory Vote on Executive Compensation</w:t>
            </w:r>
          </w:p>
        </w:tc>
        <w:tc>
          <w:tcPr>
            <w:tcW w:w="5020" w:type="dxa"/>
            <w:vAlign w:val="bottom"/>
            <w:tcBorders>
              <w:top w:val="single" w:sz="8" w:color="0000FF"/>
            </w:tcBorders>
            <w:gridSpan w:val="11"/>
          </w:tcPr>
          <w:p>
            <w:pPr>
              <w:spacing w:after="0"/>
              <w:rPr>
                <w:sz w:val="17"/>
                <w:szCs w:val="17"/>
                <w:color w:val="auto"/>
              </w:rPr>
            </w:pPr>
          </w:p>
        </w:tc>
        <w:tc>
          <w:tcPr>
            <w:tcW w:w="2080" w:type="dxa"/>
            <w:vAlign w:val="bottom"/>
            <w:gridSpan w:val="4"/>
          </w:tcPr>
          <w:p>
            <w:pPr>
              <w:spacing w:after="0"/>
              <w:rPr>
                <w:sz w:val="17"/>
                <w:szCs w:val="17"/>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PROPOSAL 5: TO CAST A NON-BINDING, ADVISORY VOTE ON THE FREQUENCY OF THE ADVISORY VOTE ON EXECUTIVE</w:t>
            </w:r>
          </w:p>
        </w:tc>
        <w:tc>
          <w:tcPr>
            <w:tcW w:w="6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6"/>
                <w:szCs w:val="16"/>
                <w:color w:val="0000FF"/>
              </w:rPr>
              <w:t>34</w:t>
            </w:r>
          </w:p>
        </w:tc>
        <w:tc>
          <w:tcPr>
            <w:tcW w:w="0" w:type="dxa"/>
            <w:vAlign w:val="bottom"/>
          </w:tcPr>
          <w:p>
            <w:pPr>
              <w:spacing w:after="0"/>
              <w:rPr>
                <w:sz w:val="1"/>
                <w:szCs w:val="1"/>
                <w:color w:val="auto"/>
              </w:rPr>
            </w:pPr>
          </w:p>
        </w:tc>
      </w:tr>
      <w:tr>
        <w:trPr>
          <w:trHeight w:val="142"/>
        </w:trPr>
        <w:tc>
          <w:tcPr>
            <w:tcW w:w="1260" w:type="dxa"/>
            <w:vAlign w:val="bottom"/>
            <w:tcBorders>
              <w:top w:val="single" w:sz="8" w:color="0000FF"/>
              <w:bottom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w w:val="98"/>
              </w:rPr>
              <w:t>COMPENSATION</w:t>
            </w:r>
          </w:p>
        </w:tc>
        <w:tc>
          <w:tcPr>
            <w:tcW w:w="7920" w:type="dxa"/>
            <w:vAlign w:val="bottom"/>
            <w:tcBorders>
              <w:top w:val="single" w:sz="8" w:color="0000FF"/>
            </w:tcBorders>
            <w:gridSpan w:val="33"/>
          </w:tcPr>
          <w:p>
            <w:pPr>
              <w:spacing w:after="0"/>
              <w:rPr>
                <w:sz w:val="12"/>
                <w:szCs w:val="12"/>
                <w:color w:val="auto"/>
              </w:rPr>
            </w:pPr>
          </w:p>
        </w:tc>
        <w:tc>
          <w:tcPr>
            <w:tcW w:w="1100" w:type="dxa"/>
            <w:vAlign w:val="bottom"/>
            <w:gridSpan w:val="2"/>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4"/>
        </w:trPr>
        <w:tc>
          <w:tcPr>
            <w:tcW w:w="380" w:type="dxa"/>
            <w:vAlign w:val="bottom"/>
          </w:tcPr>
          <w:p>
            <w:pPr>
              <w:spacing w:after="0"/>
              <w:rPr>
                <w:sz w:val="24"/>
                <w:szCs w:val="24"/>
                <w:color w:val="auto"/>
              </w:rPr>
            </w:pPr>
          </w:p>
        </w:tc>
        <w:tc>
          <w:tcPr>
            <w:tcW w:w="536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6"/>
                <w:szCs w:val="16"/>
                <w:color w:val="0000FF"/>
              </w:rPr>
              <w:t>Advisory Vote on the Frequency of the Advisory Vote on Executive Compensation</w:t>
            </w:r>
          </w:p>
        </w:tc>
        <w:tc>
          <w:tcPr>
            <w:tcW w:w="4540" w:type="dxa"/>
            <w:vAlign w:val="bottom"/>
            <w:gridSpan w:val="7"/>
          </w:tcPr>
          <w:p>
            <w:pPr>
              <w:spacing w:after="0"/>
              <w:rPr>
                <w:sz w:val="24"/>
                <w:szCs w:val="24"/>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34</w:t>
            </w:r>
          </w:p>
        </w:tc>
        <w:tc>
          <w:tcPr>
            <w:tcW w:w="0" w:type="dxa"/>
            <w:vAlign w:val="bottom"/>
          </w:tcPr>
          <w:p>
            <w:pPr>
              <w:spacing w:after="0"/>
              <w:rPr>
                <w:sz w:val="1"/>
                <w:szCs w:val="1"/>
                <w:color w:val="auto"/>
              </w:rPr>
            </w:pPr>
          </w:p>
        </w:tc>
      </w:tr>
      <w:tr>
        <w:trPr>
          <w:trHeight w:val="196"/>
        </w:trPr>
        <w:tc>
          <w:tcPr>
            <w:tcW w:w="380" w:type="dxa"/>
            <w:vAlign w:val="bottom"/>
          </w:tcPr>
          <w:p>
            <w:pPr>
              <w:spacing w:after="0"/>
              <w:rPr>
                <w:sz w:val="17"/>
                <w:szCs w:val="17"/>
                <w:color w:val="auto"/>
              </w:rPr>
            </w:pPr>
          </w:p>
        </w:tc>
        <w:tc>
          <w:tcPr>
            <w:tcW w:w="9900" w:type="dxa"/>
            <w:vAlign w:val="bottom"/>
            <w:gridSpan w:val="37"/>
          </w:tcPr>
          <w:p>
            <w:pPr>
              <w:spacing w:after="0"/>
              <w:rPr>
                <w:sz w:val="20"/>
                <w:szCs w:val="20"/>
                <w:color w:val="auto"/>
              </w:rPr>
            </w:pPr>
            <w:r>
              <w:rPr>
                <w:rFonts w:ascii="Times New Roman" w:cs="Times New Roman" w:eastAsia="Times New Roman" w:hAnsi="Times New Roman"/>
                <w:sz w:val="16"/>
                <w:szCs w:val="16"/>
                <w:color w:val="0000FF"/>
              </w:rPr>
              <w:t>Vote Sought and Recommendation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600" w:type="dxa"/>
            <w:vAlign w:val="bottom"/>
            <w:gridSpan w:val="7"/>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CERTAIN RELATIONSHIPS AND RELATED TRANSACTIONS</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35</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840" w:type="dxa"/>
            <w:vAlign w:val="bottom"/>
            <w:tcBorders>
              <w:left w:val="single" w:sz="8" w:color="0000FF"/>
            </w:tcBorders>
            <w:gridSpan w:val="6"/>
            <w:shd w:val="clear" w:color="auto" w:fill="0000FF"/>
          </w:tcPr>
          <w:p>
            <w:pPr>
              <w:spacing w:after="0" w:line="20" w:lineRule="exact"/>
              <w:rPr>
                <w:sz w:val="1"/>
                <w:szCs w:val="1"/>
                <w:color w:val="auto"/>
              </w:rPr>
            </w:pPr>
          </w:p>
        </w:tc>
        <w:tc>
          <w:tcPr>
            <w:tcW w:w="280" w:type="dxa"/>
            <w:vAlign w:val="bottom"/>
            <w:gridSpan w:val="5"/>
            <w:shd w:val="clear" w:color="auto" w:fill="0000FF"/>
          </w:tcPr>
          <w:p>
            <w:pPr>
              <w:spacing w:after="0" w:line="20" w:lineRule="exact"/>
              <w:rPr>
                <w:sz w:val="1"/>
                <w:szCs w:val="1"/>
                <w:color w:val="auto"/>
              </w:rPr>
            </w:pPr>
          </w:p>
        </w:tc>
        <w:tc>
          <w:tcPr>
            <w:tcW w:w="340" w:type="dxa"/>
            <w:vAlign w:val="bottom"/>
            <w:gridSpan w:val="5"/>
            <w:shd w:val="clear" w:color="auto" w:fill="0000FF"/>
          </w:tcPr>
          <w:p>
            <w:pPr>
              <w:spacing w:after="0" w:line="20" w:lineRule="exact"/>
              <w:rPr>
                <w:sz w:val="1"/>
                <w:szCs w:val="1"/>
                <w:color w:val="auto"/>
              </w:rPr>
            </w:pPr>
          </w:p>
        </w:tc>
        <w:tc>
          <w:tcPr>
            <w:tcW w:w="1600" w:type="dxa"/>
            <w:vAlign w:val="bottom"/>
            <w:gridSpan w:val="7"/>
            <w:shd w:val="clear" w:color="auto" w:fill="0000FF"/>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SECURITY OWNERSHIP OF CERTAIN BENEFICIAL OWNERS AND MANAGEMENT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36</w:t>
            </w:r>
          </w:p>
        </w:tc>
        <w:tc>
          <w:tcPr>
            <w:tcW w:w="0" w:type="dxa"/>
            <w:vAlign w:val="bottom"/>
          </w:tcPr>
          <w:p>
            <w:pPr>
              <w:spacing w:after="0"/>
              <w:rPr>
                <w:sz w:val="1"/>
                <w:szCs w:val="1"/>
                <w:color w:val="auto"/>
              </w:rPr>
            </w:pPr>
          </w:p>
        </w:tc>
      </w:tr>
      <w:tr>
        <w:trPr>
          <w:trHeight w:val="250"/>
        </w:trPr>
        <w:tc>
          <w:tcPr>
            <w:tcW w:w="2780" w:type="dxa"/>
            <w:vAlign w:val="bottom"/>
            <w:tcBorders>
              <w:top w:val="single" w:sz="8" w:color="0000FF"/>
              <w:bottom w:val="single" w:sz="8" w:color="0000FF"/>
            </w:tcBorders>
            <w:gridSpan w:val="20"/>
          </w:tcPr>
          <w:p>
            <w:pPr>
              <w:spacing w:after="0"/>
              <w:rPr>
                <w:sz w:val="20"/>
                <w:szCs w:val="20"/>
                <w:color w:val="auto"/>
              </w:rPr>
            </w:pPr>
            <w:r>
              <w:rPr>
                <w:rFonts w:ascii="Times New Roman" w:cs="Times New Roman" w:eastAsia="Times New Roman" w:hAnsi="Times New Roman"/>
                <w:sz w:val="16"/>
                <w:szCs w:val="16"/>
                <w:color w:val="0000FF"/>
              </w:rPr>
              <w:t>REPORT OF THE AUDIT COMMITTEE</w:t>
            </w:r>
          </w:p>
        </w:tc>
        <w:tc>
          <w:tcPr>
            <w:tcW w:w="3280" w:type="dxa"/>
            <w:vAlign w:val="bottom"/>
            <w:tcBorders>
              <w:top w:val="single" w:sz="8" w:color="0000FF"/>
            </w:tcBorders>
            <w:gridSpan w:val="12"/>
          </w:tcPr>
          <w:p>
            <w:pPr>
              <w:spacing w:after="0"/>
              <w:rPr>
                <w:sz w:val="21"/>
                <w:szCs w:val="21"/>
                <w:color w:val="auto"/>
              </w:rPr>
            </w:pPr>
          </w:p>
        </w:tc>
        <w:tc>
          <w:tcPr>
            <w:tcW w:w="4220" w:type="dxa"/>
            <w:vAlign w:val="bottom"/>
            <w:gridSpan w:val="6"/>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37</w:t>
            </w:r>
          </w:p>
        </w:tc>
        <w:tc>
          <w:tcPr>
            <w:tcW w:w="0" w:type="dxa"/>
            <w:vAlign w:val="bottom"/>
          </w:tcPr>
          <w:p>
            <w:pPr>
              <w:spacing w:after="0"/>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SECTION 16(A) BENEFICIAL OWNERSHIP REPORTING COMPLIANCE</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50"/>
        </w:trPr>
        <w:tc>
          <w:tcPr>
            <w:tcW w:w="216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color w:val="0000FF"/>
              </w:rPr>
              <w:t>STOCKHOLDER PROPOSALS</w:t>
            </w:r>
          </w:p>
        </w:tc>
        <w:tc>
          <w:tcPr>
            <w:tcW w:w="2960" w:type="dxa"/>
            <w:vAlign w:val="bottom"/>
            <w:tcBorders>
              <w:top w:val="single" w:sz="8" w:color="0000FF"/>
            </w:tcBorders>
            <w:gridSpan w:val="20"/>
          </w:tcPr>
          <w:p>
            <w:pPr>
              <w:spacing w:after="0"/>
              <w:rPr>
                <w:sz w:val="21"/>
                <w:szCs w:val="21"/>
                <w:color w:val="auto"/>
              </w:rPr>
            </w:pPr>
          </w:p>
        </w:tc>
        <w:tc>
          <w:tcPr>
            <w:tcW w:w="5160" w:type="dxa"/>
            <w:vAlign w:val="bottom"/>
            <w:gridSpan w:val="8"/>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ANNUAL REPORT</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1120" w:type="dxa"/>
            <w:vAlign w:val="bottom"/>
            <w:tcBorders>
              <w:left w:val="single" w:sz="8" w:color="0000FF"/>
            </w:tcBorders>
            <w:gridSpan w:val="11"/>
          </w:tcPr>
          <w:p>
            <w:pPr>
              <w:spacing w:after="0" w:line="20" w:lineRule="exact"/>
              <w:rPr>
                <w:sz w:val="1"/>
                <w:szCs w:val="1"/>
                <w:color w:val="auto"/>
              </w:rPr>
            </w:pPr>
          </w:p>
        </w:tc>
        <w:tc>
          <w:tcPr>
            <w:tcW w:w="6040" w:type="dxa"/>
            <w:vAlign w:val="bottom"/>
            <w:gridSpan w:val="20"/>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80" w:type="dxa"/>
            <w:vAlign w:val="bottom"/>
            <w:gridSpan w:val="38"/>
          </w:tcPr>
          <w:p>
            <w:pPr>
              <w:spacing w:after="0"/>
              <w:rPr>
                <w:sz w:val="20"/>
                <w:szCs w:val="20"/>
                <w:color w:val="auto"/>
              </w:rPr>
            </w:pPr>
            <w:r>
              <w:rPr>
                <w:rFonts w:ascii="Times New Roman" w:cs="Times New Roman" w:eastAsia="Times New Roman" w:hAnsi="Times New Roman"/>
                <w:sz w:val="16"/>
                <w:szCs w:val="16"/>
                <w:color w:val="0000FF"/>
              </w:rPr>
              <w:t>HOUSEHOLDING INFORMATION</w:t>
            </w: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38</w:t>
            </w:r>
          </w:p>
        </w:tc>
        <w:tc>
          <w:tcPr>
            <w:tcW w:w="0" w:type="dxa"/>
            <w:vAlign w:val="bottom"/>
          </w:tcPr>
          <w:p>
            <w:pPr>
              <w:spacing w:after="0"/>
              <w:rPr>
                <w:sz w:val="1"/>
                <w:szCs w:val="1"/>
                <w:color w:val="auto"/>
              </w:rPr>
            </w:pPr>
          </w:p>
        </w:tc>
      </w:tr>
      <w:tr>
        <w:trPr>
          <w:trHeight w:val="250"/>
        </w:trPr>
        <w:tc>
          <w:tcPr>
            <w:tcW w:w="24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OTHER MATTERS</w:t>
            </w:r>
          </w:p>
        </w:tc>
        <w:tc>
          <w:tcPr>
            <w:tcW w:w="7840" w:type="dxa"/>
            <w:vAlign w:val="bottom"/>
            <w:gridSpan w:val="23"/>
          </w:tcPr>
          <w:p>
            <w:pPr>
              <w:spacing w:after="0"/>
              <w:rPr>
                <w:sz w:val="21"/>
                <w:szCs w:val="21"/>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0000FF"/>
              </w:rPr>
              <w:t>39</w:t>
            </w:r>
          </w:p>
        </w:tc>
        <w:tc>
          <w:tcPr>
            <w:tcW w:w="0" w:type="dxa"/>
            <w:vAlign w:val="bottom"/>
          </w:tcPr>
          <w:p>
            <w:pPr>
              <w:spacing w:after="0"/>
              <w:rPr>
                <w:sz w:val="1"/>
                <w:szCs w:val="1"/>
                <w:color w:val="auto"/>
              </w:rPr>
            </w:pPr>
          </w:p>
        </w:tc>
      </w:tr>
      <w:tr>
        <w:trPr>
          <w:trHeight w:val="20"/>
        </w:trPr>
        <w:tc>
          <w:tcPr>
            <w:tcW w:w="1320" w:type="dxa"/>
            <w:vAlign w:val="bottom"/>
            <w:gridSpan w:val="4"/>
            <w:shd w:val="clear" w:color="auto" w:fill="0000FF"/>
          </w:tcPr>
          <w:p>
            <w:pPr>
              <w:spacing w:after="0" w:line="20" w:lineRule="exact"/>
              <w:rPr>
                <w:sz w:val="1"/>
                <w:szCs w:val="1"/>
                <w:color w:val="auto"/>
              </w:rPr>
            </w:pPr>
          </w:p>
        </w:tc>
        <w:tc>
          <w:tcPr>
            <w:tcW w:w="7160" w:type="dxa"/>
            <w:vAlign w:val="bottom"/>
            <w:gridSpan w:val="31"/>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6"/>
                <w:szCs w:val="16"/>
                <w:color w:val="0000FF"/>
              </w:rPr>
              <w:t>APPENDIX A – NINTH AMENDED AND RESTATED WESTWOOD HOLDINGS GROUP, INC. STOCK INCENTIVE PLAN</w:t>
            </w:r>
          </w:p>
        </w:tc>
        <w:tc>
          <w:tcPr>
            <w:tcW w:w="1800" w:type="dxa"/>
            <w:vAlign w:val="bottom"/>
            <w:gridSpan w:val="3"/>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920"/>
          </w:cols>
          <w:pgMar w:left="500" w:top="682" w:right="479" w:bottom="1440" w:gutter="0" w:footer="0" w:header="0"/>
        </w:sectPr>
      </w:pPr>
    </w:p>
    <w:bookmarkStart w:id="3" w:name="page4"/>
    <w:bookmarkEnd w:id="3"/>
    <w:p>
      <w:pPr>
        <w:ind w:left="4000"/>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8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APRIL 26, 2023</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Westwood Holdings Group, Inc.:</w:t>
      </w:r>
    </w:p>
    <w:p>
      <w:pPr>
        <w:spacing w:after="0" w:line="117" w:lineRule="exact"/>
        <w:rPr>
          <w:sz w:val="20"/>
          <w:szCs w:val="20"/>
          <w:color w:val="auto"/>
        </w:rPr>
      </w:pPr>
    </w:p>
    <w:p>
      <w:pPr>
        <w:ind w:right="200" w:firstLine="405"/>
        <w:spacing w:after="0" w:line="258" w:lineRule="auto"/>
        <w:rPr>
          <w:sz w:val="20"/>
          <w:szCs w:val="20"/>
          <w:color w:val="auto"/>
        </w:rPr>
      </w:pPr>
      <w:r>
        <w:rPr>
          <w:rFonts w:ascii="Times New Roman" w:cs="Times New Roman" w:eastAsia="Times New Roman" w:hAnsi="Times New Roman"/>
          <w:sz w:val="18"/>
          <w:szCs w:val="18"/>
          <w:color w:val="auto"/>
        </w:rPr>
        <w:t xml:space="preserve">NOTICE IS HEREBY GIVEN that the annual meeting of the stockholders of Westwood Holdings Group, Inc. ("Westwood," the "Company," "we," "us" or "our") will be held virtually at </w:t>
      </w:r>
      <w:r>
        <w:rPr>
          <w:rFonts w:ascii="Times New Roman" w:cs="Times New Roman" w:eastAsia="Times New Roman" w:hAnsi="Times New Roman"/>
          <w:sz w:val="18"/>
          <w:szCs w:val="18"/>
          <w:i w:val="1"/>
          <w:iCs w:val="1"/>
          <w:u w:val="single" w:color="auto"/>
          <w:color w:val="auto"/>
        </w:rPr>
        <w:t>www.virtualshareholdermeeting.com/WHG2023</w:t>
      </w:r>
      <w:r>
        <w:rPr>
          <w:rFonts w:ascii="Times New Roman" w:cs="Times New Roman" w:eastAsia="Times New Roman" w:hAnsi="Times New Roman"/>
          <w:sz w:val="18"/>
          <w:szCs w:val="18"/>
          <w:color w:val="auto"/>
        </w:rPr>
        <w:t xml:space="preserve"> on Wednesday, April 26, 2023, at 10:00 a.m., Central Time, to consider and vote on the following proposals:</w:t>
      </w:r>
    </w:p>
    <w:p>
      <w:pPr>
        <w:spacing w:after="0" w:line="29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28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0" w:type="dxa"/>
            <w:vAlign w:val="bottom"/>
          </w:tcPr>
          <w:p>
            <w:pPr>
              <w:spacing w:after="0"/>
              <w:rPr>
                <w:sz w:val="1"/>
                <w:szCs w:val="1"/>
                <w:color w:val="auto"/>
              </w:rPr>
            </w:pPr>
          </w:p>
        </w:tc>
      </w:tr>
      <w:tr>
        <w:trPr>
          <w:trHeight w:val="198"/>
        </w:trPr>
        <w:tc>
          <w:tcPr>
            <w:tcW w:w="118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5060" w:type="dxa"/>
            <w:vAlign w:val="bottom"/>
            <w:gridSpan w:val="2"/>
            <w:vMerge w:val="continue"/>
          </w:tcPr>
          <w:p>
            <w:pPr>
              <w:spacing w:after="0"/>
              <w:rPr>
                <w:sz w:val="17"/>
                <w:szCs w:val="17"/>
                <w:color w:val="auto"/>
              </w:rPr>
            </w:pPr>
          </w:p>
        </w:tc>
        <w:tc>
          <w:tcPr>
            <w:tcW w:w="1620" w:type="dxa"/>
            <w:vAlign w:val="bottom"/>
            <w:gridSpan w:val="2"/>
          </w:tcPr>
          <w:p>
            <w:pPr>
              <w:jc w:val="center"/>
              <w:ind w:left="1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Recommendation</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Proposal 1.</w:t>
            </w:r>
          </w:p>
        </w:tc>
        <w:tc>
          <w:tcPr>
            <w:tcW w:w="30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80" w:type="dxa"/>
            <w:vAlign w:val="bottom"/>
            <w:vMerge w:val="continue"/>
          </w:tcPr>
          <w:p>
            <w:pPr>
              <w:spacing w:after="0"/>
              <w:rPr>
                <w:sz w:val="22"/>
                <w:szCs w:val="22"/>
                <w:color w:val="auto"/>
              </w:rPr>
            </w:pP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election of six directors to hold office until the next annual meeting of Westwood's stockholders and</w:t>
            </w:r>
          </w:p>
        </w:tc>
        <w:tc>
          <w:tcPr>
            <w:tcW w:w="280" w:type="dxa"/>
            <w:vAlign w:val="bottom"/>
          </w:tcPr>
          <w:p>
            <w:pPr>
              <w:spacing w:after="0"/>
              <w:rPr>
                <w:sz w:val="22"/>
                <w:szCs w:val="22"/>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For all nominees</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until their respective successors shall have been duly elected and qualified;</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2.</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The ratification of the appointment of BDO USA, LLP as Westwood's independent auditors for the year</w:t>
            </w:r>
          </w:p>
        </w:tc>
        <w:tc>
          <w:tcPr>
            <w:tcW w:w="28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ending December 31, 2023;</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3.</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approve the Ninth Amended and Restated Westwood Holdings Group, Inc. Stock Incentive Plan;</w:t>
            </w:r>
          </w:p>
        </w:tc>
        <w:tc>
          <w:tcPr>
            <w:tcW w:w="2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84"/>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4.</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cast a non-binding, advisory vote on the Company's executive compensation; and</w:t>
            </w:r>
          </w:p>
        </w:tc>
        <w:tc>
          <w:tcPr>
            <w:tcW w:w="2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For</w:t>
            </w:r>
          </w:p>
        </w:tc>
        <w:tc>
          <w:tcPr>
            <w:tcW w:w="0" w:type="dxa"/>
            <w:vAlign w:val="bottom"/>
          </w:tcPr>
          <w:p>
            <w:pPr>
              <w:spacing w:after="0"/>
              <w:rPr>
                <w:sz w:val="1"/>
                <w:szCs w:val="1"/>
                <w:color w:val="auto"/>
              </w:rPr>
            </w:pPr>
          </w:p>
        </w:tc>
      </w:tr>
      <w:tr>
        <w:trPr>
          <w:trHeight w:val="279"/>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Proposal 5.</w:t>
            </w: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To cast a non-binding, advisory vote on the frequency of future advisory votes on the Company's</w:t>
            </w:r>
          </w:p>
        </w:tc>
        <w:tc>
          <w:tcPr>
            <w:tcW w:w="280" w:type="dxa"/>
            <w:vAlign w:val="bottom"/>
          </w:tcPr>
          <w:p>
            <w:pPr>
              <w:spacing w:after="0"/>
              <w:rPr>
                <w:sz w:val="24"/>
                <w:szCs w:val="24"/>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One Year</w:t>
            </w:r>
          </w:p>
        </w:tc>
        <w:tc>
          <w:tcPr>
            <w:tcW w:w="0" w:type="dxa"/>
            <w:vAlign w:val="bottom"/>
          </w:tcPr>
          <w:p>
            <w:pPr>
              <w:spacing w:after="0"/>
              <w:rPr>
                <w:sz w:val="1"/>
                <w:szCs w:val="1"/>
                <w:color w:val="auto"/>
              </w:rPr>
            </w:pPr>
          </w:p>
        </w:tc>
      </w:tr>
      <w:tr>
        <w:trPr>
          <w:trHeight w:val="234"/>
        </w:trPr>
        <w:tc>
          <w:tcPr>
            <w:tcW w:w="1180" w:type="dxa"/>
            <w:vAlign w:val="bottom"/>
          </w:tcPr>
          <w:p>
            <w:pPr>
              <w:spacing w:after="0"/>
              <w:rPr>
                <w:sz w:val="20"/>
                <w:szCs w:val="20"/>
                <w:color w:val="auto"/>
              </w:rPr>
            </w:pPr>
          </w:p>
        </w:tc>
        <w:tc>
          <w:tcPr>
            <w:tcW w:w="81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executive compensation.</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100" w:firstLine="405"/>
        <w:spacing w:after="0" w:line="282" w:lineRule="auto"/>
        <w:rPr>
          <w:sz w:val="20"/>
          <w:szCs w:val="20"/>
          <w:color w:val="auto"/>
        </w:rPr>
      </w:pPr>
      <w:r>
        <w:rPr>
          <w:rFonts w:ascii="Times New Roman" w:cs="Times New Roman" w:eastAsia="Times New Roman" w:hAnsi="Times New Roman"/>
          <w:sz w:val="18"/>
          <w:szCs w:val="18"/>
          <w:color w:val="auto"/>
        </w:rPr>
        <w:t>In addition, we will consider the transaction of such other business as may properly come before the meeting or at any adjournments or postponements.</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attached proxy statement.</w:t>
      </w:r>
    </w:p>
    <w:p>
      <w:pPr>
        <w:spacing w:after="0" w:line="117" w:lineRule="exact"/>
        <w:rPr>
          <w:sz w:val="20"/>
          <w:szCs w:val="20"/>
          <w:color w:val="auto"/>
        </w:rPr>
      </w:pPr>
    </w:p>
    <w:p>
      <w:pPr>
        <w:ind w:right="280" w:firstLine="405"/>
        <w:spacing w:after="0" w:line="261"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6, 2023 are entitled to notice of, and to vote at, the annual meeting and any adjournments or postponements thereof. A holder of shares of our common stock as of the record date is entitled to one vote at the virtual meeting or by proxy for each share of common stock owned by such holder on all matters properly brought before the annual meeting or at any adjournments or postponements.</w:t>
      </w:r>
    </w:p>
    <w:p>
      <w:pPr>
        <w:spacing w:after="0" w:line="72"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All of our stockholders are invited to virtually attend the annual meeting. Whether or not you expect to attend the annual meeting, we urge you to complete, sign, date and promptly return the accompanying proxy card in the enclosed postage-paid envelope to assure your representation at the meeting. You may also vote by Internet at </w:t>
      </w:r>
      <w:r>
        <w:rPr>
          <w:rFonts w:ascii="Times New Roman" w:cs="Times New Roman" w:eastAsia="Times New Roman" w:hAnsi="Times New Roman"/>
          <w:sz w:val="18"/>
          <w:szCs w:val="18"/>
          <w:i w:val="1"/>
          <w:iCs w:val="1"/>
          <w:u w:val="single" w:color="auto"/>
          <w:color w:val="auto"/>
        </w:rPr>
        <w:t>www.virtualshareholdermeeting.com/WHG2023</w:t>
      </w:r>
      <w:r>
        <w:rPr>
          <w:rFonts w:ascii="Times New Roman" w:cs="Times New Roman" w:eastAsia="Times New Roman" w:hAnsi="Times New Roman"/>
          <w:sz w:val="18"/>
          <w:szCs w:val="18"/>
          <w:color w:val="auto"/>
        </w:rPr>
        <w:t xml:space="preserve"> using the control number shown on your proxy card or voting instruction card. You can revoke your proxy at any time before it is voted by delivering written notice to our Corporate Secretary at our principal executive office located at 200 Crescent Court, Suite 1200, Dallas, Texas 75201, by signing and mailing to us a proxy bearing a later date, by changing your vote by Internet (if you voted by Internet) or by virtually attending the annual meeting and voting then.</w:t>
      </w:r>
    </w:p>
    <w:p>
      <w:pPr>
        <w:spacing w:after="0" w:line="7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If you are the beneficial owner of shares of our common stock held in street name, you will receive voting instructions from your broker, bank or other nominee (who must be the stockholder of record). The voting instructions will provide details regarding how to vote these shares. Additionally, you may vote these shares at the virtual annual meeting if you have requested and received a legal proxy from your broker, bank or other nominee giving you the right to vote the shares at the annual meeting, and you complete the legal proxy and present it to us electronically at the annual meeting. Pursuant to the New York Stock Exchange ("NYSE") rules, if you hold your shares in street name, nominees will not have discretion to vote these shares on the election of directors, the approval of the Ninth Amended and Restated Westwood Holdings Group, Inc. Stock Incentive Plan, and the matter pertaining to executive compensation. Accordingly, if your shares are held in street name and you do not submit voting instructions to your broker, bank or other nominee, these shares will not be counted in determining the outcome on Proposals 1, 3, 4 and 5 set forth in this proxy statement at the annual meeting. If you hold your shares in street name, we encourage you to provide voting instructions to your broker, bank, or other nominee so that your voice is heard on these proposals.</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proxy statement and proxy card are being mailed to our stockholders on or about March 21, 2023.</w:t>
      </w:r>
    </w:p>
    <w:p>
      <w:pPr>
        <w:spacing w:after="0" w:line="11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40"/>
          </w:cols>
          <w:pgMar w:left="320" w:top="441"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INTERNET AVAILABILITY OF PROXY MATERIALS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Internet Availability of Proxy Materials for the Stockholder Meeting to be Held on APRIL 26, 2023</w:t>
      </w:r>
    </w:p>
    <w:p>
      <w:pPr>
        <w:spacing w:after="0" w:line="200" w:lineRule="exact"/>
        <w:rPr>
          <w:sz w:val="20"/>
          <w:szCs w:val="20"/>
          <w:color w:val="auto"/>
        </w:rPr>
      </w:pPr>
    </w:p>
    <w:p>
      <w:pPr>
        <w:spacing w:after="0" w:line="27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proxy materials for the Company's Annual Meeting of Stockholders, including the 2022 Annual Report to Stockholders, the Proxy Statement and any other additional soliciting materials, are available over the Internet by accessing our website at </w:t>
      </w:r>
      <w:r>
        <w:rPr>
          <w:rFonts w:ascii="Times New Roman" w:cs="Times New Roman" w:eastAsia="Times New Roman" w:hAnsi="Times New Roman"/>
          <w:sz w:val="18"/>
          <w:szCs w:val="18"/>
          <w:i w:val="1"/>
          <w:iCs w:val="1"/>
          <w:color w:val="auto"/>
        </w:rPr>
        <w:t>https://westwoodgroup.com/investor-relations/annual-reports/</w:t>
      </w:r>
      <w:r>
        <w:rPr>
          <w:rFonts w:ascii="Times New Roman" w:cs="Times New Roman" w:eastAsia="Times New Roman" w:hAnsi="Times New Roman"/>
          <w:sz w:val="18"/>
          <w:szCs w:val="18"/>
          <w:color w:val="auto"/>
        </w:rPr>
        <w:t>. Other information on our website does not constitute part of the Company's proxy materials.</w:t>
      </w:r>
    </w:p>
    <w:p>
      <w:pPr>
        <w:spacing w:after="0" w:line="16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color w:val="auto"/>
        </w:rPr>
        <w:t>Westwood Holdings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66040</wp:posOffset>
            </wp:positionV>
            <wp:extent cx="97726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00"/>
          </w:cols>
          <w:pgMar w:left="320" w:top="684" w:right="37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WESTWOOD HOLDINGS GROUP,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2023 ANNUAL MEETING OF STOCKHOLDERS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APRIL 26, 2023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GENERAL QUESTIONS AND ANSWERS</w:t>
      </w:r>
    </w:p>
    <w:p>
      <w:pPr>
        <w:spacing w:after="0" w:line="121"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following questions and answers are intended to provide brief answers to frequently asked questions concerning the proposals described in this proxy statement and the proxy solicitation process. These questions and answers do not, and are not intended to, address all the questions that may be important to you. You should carefully read the remainder of this proxy statement. This proxy statement and the accompanying proxy card are being mailed to the stockholders of Westwood Holdings Group, Inc. ("Westwood," the "Company," "we," "us" or "our") on or about March 21,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ANNUAL MEETING</w:t>
      </w:r>
    </w:p>
    <w:p>
      <w:pPr>
        <w:spacing w:after="0" w:line="158" w:lineRule="exact"/>
        <w:rPr>
          <w:sz w:val="20"/>
          <w:szCs w:val="20"/>
          <w:color w:val="auto"/>
        </w:rPr>
      </w:pPr>
    </w:p>
    <w:p>
      <w:pPr>
        <w:ind w:left="540" w:hanging="469"/>
        <w:spacing w:after="0"/>
        <w:tabs>
          <w:tab w:leader="none" w:pos="540" w:val="left"/>
        </w:tabs>
        <w:numPr>
          <w:ilvl w:val="1"/>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and where is the annual meeting?</w:t>
      </w:r>
    </w:p>
    <w:p>
      <w:pPr>
        <w:spacing w:after="0" w:line="200" w:lineRule="exact"/>
        <w:rPr>
          <w:rFonts w:ascii="Times New Roman" w:cs="Times New Roman" w:eastAsia="Times New Roman" w:hAnsi="Times New Roman"/>
          <w:sz w:val="18"/>
          <w:szCs w:val="18"/>
          <w:b w:val="1"/>
          <w:bCs w:val="1"/>
          <w:color w:val="auto"/>
        </w:rPr>
      </w:pPr>
    </w:p>
    <w:p>
      <w:pPr>
        <w:spacing w:after="0" w:line="299" w:lineRule="exact"/>
        <w:rPr>
          <w:rFonts w:ascii="Times New Roman" w:cs="Times New Roman" w:eastAsia="Times New Roman" w:hAnsi="Times New Roman"/>
          <w:sz w:val="18"/>
          <w:szCs w:val="18"/>
          <w:b w:val="1"/>
          <w:bCs w:val="1"/>
          <w:color w:val="auto"/>
        </w:rPr>
      </w:pPr>
    </w:p>
    <w:p>
      <w:pPr>
        <w:ind w:left="480" w:right="3260" w:hanging="454"/>
        <w:spacing w:after="0" w:line="266" w:lineRule="auto"/>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annual meeting will be held virtually on Wednesday, April 26, 2023, at 10:00 a.m., Central Time, at </w:t>
      </w:r>
      <w:r>
        <w:rPr>
          <w:rFonts w:ascii="Times New Roman" w:cs="Times New Roman" w:eastAsia="Times New Roman" w:hAnsi="Times New Roman"/>
          <w:sz w:val="18"/>
          <w:szCs w:val="18"/>
          <w:i w:val="1"/>
          <w:iCs w:val="1"/>
          <w:u w:val="single" w:color="auto"/>
          <w:color w:val="auto"/>
        </w:rPr>
        <w:t>www.virtualshareholdermeeting.com/WHG2023.</w:t>
      </w:r>
    </w:p>
    <w:p>
      <w:pPr>
        <w:spacing w:after="0" w:line="212" w:lineRule="exact"/>
        <w:rPr>
          <w:rFonts w:ascii="Times New Roman" w:cs="Times New Roman" w:eastAsia="Times New Roman" w:hAnsi="Times New Roman"/>
          <w:sz w:val="18"/>
          <w:szCs w:val="18"/>
          <w:b w:val="1"/>
          <w:bCs w:val="1"/>
          <w:color w:val="auto"/>
        </w:rPr>
      </w:pPr>
    </w:p>
    <w:p>
      <w:pPr>
        <w:ind w:left="540" w:hanging="469"/>
        <w:spacing w:after="0"/>
        <w:tabs>
          <w:tab w:leader="none" w:pos="540"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am I being asked to vote on?</w:t>
      </w:r>
    </w:p>
    <w:p>
      <w:pPr>
        <w:spacing w:after="0" w:line="200" w:lineRule="exact"/>
        <w:rPr>
          <w:sz w:val="20"/>
          <w:szCs w:val="20"/>
          <w:color w:val="auto"/>
        </w:rPr>
      </w:pPr>
    </w:p>
    <w:p>
      <w:pPr>
        <w:spacing w:after="0" w:line="286" w:lineRule="exact"/>
        <w:rPr>
          <w:sz w:val="20"/>
          <w:szCs w:val="20"/>
          <w:color w:val="auto"/>
        </w:rPr>
      </w:pPr>
    </w:p>
    <w:p>
      <w:pPr>
        <w:ind w:left="520" w:hanging="494"/>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stockholders are being asked to vote on the following proposals at the annual meeting:</w:t>
      </w:r>
    </w:p>
    <w:p>
      <w:pPr>
        <w:spacing w:after="0" w:line="27" w:lineRule="exact"/>
        <w:rPr>
          <w:rFonts w:ascii="Times New Roman" w:cs="Times New Roman" w:eastAsia="Times New Roman" w:hAnsi="Times New Roman"/>
          <w:sz w:val="18"/>
          <w:szCs w:val="18"/>
          <w:b w:val="1"/>
          <w:bCs w:val="1"/>
          <w:color w:val="auto"/>
        </w:rPr>
      </w:pPr>
    </w:p>
    <w:p>
      <w:pPr>
        <w:ind w:left="1080" w:right="680" w:hanging="555"/>
        <w:spacing w:after="0" w:line="234" w:lineRule="auto"/>
        <w:tabs>
          <w:tab w:leader="none" w:pos="10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To elect six directors to hold office until the next annual meeting of Westwood’s stockholders and until their respective successors shall have been duly elected and qualified; and</w:t>
      </w:r>
    </w:p>
    <w:p>
      <w:pPr>
        <w:spacing w:after="0" w:line="10" w:lineRule="exact"/>
        <w:rPr>
          <w:rFonts w:ascii="Times New Roman" w:cs="Times New Roman" w:eastAsia="Times New Roman" w:hAnsi="Times New Roman"/>
          <w:sz w:val="18"/>
          <w:szCs w:val="18"/>
          <w:color w:val="auto"/>
        </w:rPr>
      </w:pPr>
    </w:p>
    <w:p>
      <w:pPr>
        <w:ind w:left="1080" w:right="140" w:hanging="555"/>
        <w:spacing w:after="0" w:line="237" w:lineRule="auto"/>
        <w:tabs>
          <w:tab w:leader="none" w:pos="10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To ratify the appointment of BDO USA, LLP ("BDO") as Westwood’s independent auditors for the year ending December 31, 2023; and</w:t>
      </w:r>
    </w:p>
    <w:p>
      <w:pPr>
        <w:spacing w:after="0" w:line="9" w:lineRule="exact"/>
        <w:rPr>
          <w:rFonts w:ascii="Times New Roman" w:cs="Times New Roman" w:eastAsia="Times New Roman" w:hAnsi="Times New Roman"/>
          <w:sz w:val="18"/>
          <w:szCs w:val="18"/>
          <w:color w:val="auto"/>
        </w:rPr>
      </w:pPr>
    </w:p>
    <w:p>
      <w:pPr>
        <w:ind w:left="1080" w:hanging="555"/>
        <w:spacing w:after="0"/>
        <w:tabs>
          <w:tab w:leader="none" w:pos="10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To approve the Ninth Amended and Restated Westwood Holdings Group, Inc. Stock Incentive Plan; and</w:t>
      </w:r>
    </w:p>
    <w:p>
      <w:pPr>
        <w:spacing w:after="0" w:line="27" w:lineRule="exact"/>
        <w:rPr>
          <w:rFonts w:ascii="Times New Roman" w:cs="Times New Roman" w:eastAsia="Times New Roman" w:hAnsi="Times New Roman"/>
          <w:sz w:val="18"/>
          <w:szCs w:val="18"/>
          <w:color w:val="auto"/>
        </w:rPr>
      </w:pPr>
    </w:p>
    <w:p>
      <w:pPr>
        <w:ind w:left="1080" w:hanging="555"/>
        <w:spacing w:after="0"/>
        <w:tabs>
          <w:tab w:leader="none" w:pos="10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4 - To cast a non-binding, advisory vote on the Company's executive compensation; and</w:t>
      </w:r>
    </w:p>
    <w:p>
      <w:pPr>
        <w:spacing w:after="0" w:line="22" w:lineRule="exact"/>
        <w:rPr>
          <w:rFonts w:ascii="Times New Roman" w:cs="Times New Roman" w:eastAsia="Times New Roman" w:hAnsi="Times New Roman"/>
          <w:sz w:val="18"/>
          <w:szCs w:val="18"/>
          <w:color w:val="auto"/>
        </w:rPr>
      </w:pPr>
    </w:p>
    <w:p>
      <w:pPr>
        <w:ind w:left="1080" w:hanging="555"/>
        <w:spacing w:after="0"/>
        <w:tabs>
          <w:tab w:leader="none" w:pos="1080"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5 – To cast a non-binding, advisory vote on the frequency of future advisory votes on the Company's executive compensation.</w:t>
      </w:r>
    </w:p>
    <w:p>
      <w:pPr>
        <w:spacing w:after="0" w:line="270" w:lineRule="exact"/>
        <w:rPr>
          <w:rFonts w:ascii="Times New Roman" w:cs="Times New Roman" w:eastAsia="Times New Roman" w:hAnsi="Times New Roman"/>
          <w:sz w:val="18"/>
          <w:szCs w:val="18"/>
          <w:color w:val="auto"/>
        </w:rPr>
      </w:pPr>
    </w:p>
    <w:p>
      <w:pPr>
        <w:ind w:left="540" w:hanging="469"/>
        <w:spacing w:after="0"/>
        <w:tabs>
          <w:tab w:leader="none" w:pos="540" w:val="left"/>
        </w:tabs>
        <w:numPr>
          <w:ilvl w:val="1"/>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of Directors recommend that I vote?</w:t>
      </w:r>
    </w:p>
    <w:p>
      <w:pPr>
        <w:spacing w:after="0" w:line="200" w:lineRule="exact"/>
        <w:rPr>
          <w:sz w:val="20"/>
          <w:szCs w:val="20"/>
          <w:color w:val="auto"/>
        </w:rPr>
      </w:pPr>
    </w:p>
    <w:p>
      <w:pPr>
        <w:spacing w:after="0" w:line="272" w:lineRule="exact"/>
        <w:rPr>
          <w:sz w:val="20"/>
          <w:szCs w:val="20"/>
          <w:color w:val="auto"/>
        </w:rPr>
      </w:pPr>
    </w:p>
    <w:p>
      <w:pPr>
        <w:ind w:left="480" w:right="40" w:hanging="454"/>
        <w:spacing w:after="0" w:line="242" w:lineRule="auto"/>
        <w:tabs>
          <w:tab w:leader="none" w:pos="4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recommends that you vote your shares (i) "FOR" each of the six director nominees for election to the Board of Directors, (ii) "FOR" the ratification of the appointment of BDO as Westwood’s independent auditors for the year ending December 31, 2023, (iii) "FOR" the approval of the Ninth Amended and Restated Westwood Holdings Group, Inc. Stock Incentive Plan, and (iv) "FOR" the approval, on a non-binding, advisory basis, of the Company’s executive compensation, and (v) "One Year" for the non-binding, advisory vote on the recommended frequency of future advisory votes on the Company's executive compensation.</w:t>
      </w:r>
    </w:p>
    <w:p>
      <w:pPr>
        <w:spacing w:after="0" w:line="22" w:lineRule="exact"/>
        <w:rPr>
          <w:rFonts w:ascii="Times New Roman" w:cs="Times New Roman" w:eastAsia="Times New Roman" w:hAnsi="Times New Roman"/>
          <w:sz w:val="18"/>
          <w:szCs w:val="18"/>
          <w:b w:val="1"/>
          <w:bCs w:val="1"/>
          <w:color w:val="auto"/>
        </w:rPr>
      </w:pPr>
    </w:p>
    <w:p>
      <w:pPr>
        <w:ind w:left="480" w:right="10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submit your properly executed proxy without voting instructions, your shares represented by that proxy will be voted as recommended by the Board of Directors.</w:t>
      </w:r>
    </w:p>
    <w:p>
      <w:pPr>
        <w:spacing w:after="0" w:line="212" w:lineRule="exact"/>
        <w:rPr>
          <w:rFonts w:ascii="Times New Roman" w:cs="Times New Roman" w:eastAsia="Times New Roman" w:hAnsi="Times New Roman"/>
          <w:sz w:val="18"/>
          <w:szCs w:val="18"/>
          <w:b w:val="1"/>
          <w:bCs w:val="1"/>
          <w:color w:val="auto"/>
        </w:rPr>
      </w:pPr>
    </w:p>
    <w:p>
      <w:pPr>
        <w:ind w:left="540" w:hanging="469"/>
        <w:spacing w:after="0"/>
        <w:tabs>
          <w:tab w:leader="none" w:pos="540"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 at the annual meeting?</w:t>
      </w:r>
    </w:p>
    <w:p>
      <w:pPr>
        <w:spacing w:after="0" w:line="200" w:lineRule="exact"/>
        <w:rPr>
          <w:sz w:val="20"/>
          <w:szCs w:val="20"/>
          <w:color w:val="auto"/>
        </w:rPr>
      </w:pPr>
    </w:p>
    <w:p>
      <w:pPr>
        <w:spacing w:after="0" w:line="286" w:lineRule="exact"/>
        <w:rPr>
          <w:sz w:val="20"/>
          <w:szCs w:val="20"/>
          <w:color w:val="auto"/>
        </w:rPr>
      </w:pPr>
    </w:p>
    <w:p>
      <w:pPr>
        <w:ind w:left="480" w:hanging="454"/>
        <w:spacing w:after="0" w:line="220" w:lineRule="auto"/>
        <w:tabs>
          <w:tab w:leader="none" w:pos="4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Stockholders of record at the close of business on March 6, 2023 (the "record date") are entitled to notice of, and to vote at, the virtual annual meeting and any adjournments or postponements thereof. A holder of shares of our common stock as of the record date is entitled to one vote at the meeting or by proxy for each share of common stock owned by such holder on all matters properly brought before the annual meeting or at any adjournments or postponements thereof. As of March 6, 2023, there were 9,245,779 shares of common stock outstanding and entitled to vote on each of the proposals.</w:t>
      </w:r>
    </w:p>
    <w:p>
      <w:pPr>
        <w:spacing w:after="0" w:line="200" w:lineRule="exact"/>
        <w:rPr>
          <w:sz w:val="20"/>
          <w:szCs w:val="20"/>
          <w:color w:val="auto"/>
        </w:rPr>
      </w:pPr>
    </w:p>
    <w:p>
      <w:pPr>
        <w:spacing w:after="0" w:line="238" w:lineRule="exact"/>
        <w:rPr>
          <w:sz w:val="20"/>
          <w:szCs w:val="20"/>
          <w:color w:val="auto"/>
        </w:rPr>
      </w:pPr>
    </w:p>
    <w:p>
      <w:pPr>
        <w:ind w:left="500" w:hanging="474"/>
        <w:spacing w:after="0"/>
        <w:tabs>
          <w:tab w:leader="none" w:pos="5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constitutes a quorum?</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549" w:right="359" w:bottom="1440" w:gutter="0" w:footer="0" w:header="0"/>
        </w:sectPr>
      </w:pPr>
    </w:p>
    <w:bookmarkStart w:id="6" w:name="page7"/>
    <w:bookmarkEnd w:id="6"/>
    <w:p>
      <w:pPr>
        <w:ind w:left="454" w:right="240" w:hanging="454"/>
        <w:spacing w:after="0" w:line="247" w:lineRule="auto"/>
        <w:tabs>
          <w:tab w:leader="none" w:pos="454"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We must have a quorum in order to carry out the business of the annual meeting. This means at least a majority of the shares of common stock outstanding as of the record date must be represented at the annual meeting, either by proxy or virtually. Abstentions and broker non-votes, which are described in more detail below, are counted as shares present at the annual meeting for purposes of determining whether a quorum exists.</w:t>
      </w:r>
    </w:p>
    <w:p>
      <w:pPr>
        <w:spacing w:after="0" w:line="215" w:lineRule="exact"/>
        <w:rPr>
          <w:rFonts w:ascii="Times New Roman" w:cs="Times New Roman" w:eastAsia="Times New Roman" w:hAnsi="Times New Roman"/>
          <w:sz w:val="17"/>
          <w:szCs w:val="17"/>
          <w:b w:val="1"/>
          <w:bCs w:val="1"/>
          <w:color w:val="auto"/>
        </w:rPr>
      </w:pPr>
    </w:p>
    <w:p>
      <w:pPr>
        <w:ind w:left="514" w:hanging="469"/>
        <w:spacing w:after="0"/>
        <w:tabs>
          <w:tab w:leader="none" w:pos="514"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200" w:lineRule="exact"/>
        <w:rPr>
          <w:sz w:val="20"/>
          <w:szCs w:val="20"/>
          <w:color w:val="auto"/>
        </w:rPr>
      </w:pPr>
    </w:p>
    <w:p>
      <w:pPr>
        <w:spacing w:after="0" w:line="272" w:lineRule="exact"/>
        <w:rPr>
          <w:sz w:val="20"/>
          <w:szCs w:val="20"/>
          <w:color w:val="auto"/>
        </w:rPr>
      </w:pPr>
    </w:p>
    <w:p>
      <w:pPr>
        <w:jc w:val="both"/>
        <w:ind w:left="454" w:right="160" w:hanging="454"/>
        <w:spacing w:after="0" w:line="231" w:lineRule="auto"/>
        <w:tabs>
          <w:tab w:leader="none" w:pos="454"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 of Record: A stockholder of record holds shares registered directly in the stockholder's name with our transfer agent. As a stockholder of record, you have the right to grant your voting proxy directly to us in accordance with the procedures described below or to vote virtually at the annual meeting.</w:t>
      </w:r>
    </w:p>
    <w:p>
      <w:pPr>
        <w:spacing w:after="0" w:line="1" w:lineRule="exact"/>
        <w:rPr>
          <w:rFonts w:ascii="Times New Roman" w:cs="Times New Roman" w:eastAsia="Times New Roman" w:hAnsi="Times New Roman"/>
          <w:sz w:val="18"/>
          <w:szCs w:val="18"/>
          <w:b w:val="1"/>
          <w:bCs w:val="1"/>
          <w:color w:val="auto"/>
        </w:rPr>
      </w:pPr>
    </w:p>
    <w:p>
      <w:pPr>
        <w:ind w:left="454"/>
        <w:spacing w:after="0" w:line="21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Beneficial Owner: If your shares are held through a bank, broker or other nominee, you are the "beneficial owner" of shares held in "street name," and these proxy materials are being forwarded to you by your bank, broker or other nominee, which is considered, with respect to those shares, the stockholder of record. As the beneficial owner, you have the right to direct your bank, broker or other nominee on how to vote your shares by completing the instructions provided to you by your bank, broker or other nominee. However, since you are not a stockholder of record, you may not virtually vote these shares at the annual meeting unless you obtain a valid proxy from your bank, broker or other nominee (who must be the stockholder of record) giving you the right to vote the shares.</w:t>
      </w:r>
    </w:p>
    <w:p>
      <w:pPr>
        <w:spacing w:after="0" w:line="221" w:lineRule="exact"/>
        <w:rPr>
          <w:rFonts w:ascii="Times New Roman" w:cs="Times New Roman" w:eastAsia="Times New Roman" w:hAnsi="Times New Roman"/>
          <w:sz w:val="18"/>
          <w:szCs w:val="18"/>
          <w:b w:val="1"/>
          <w:bCs w:val="1"/>
          <w:color w:val="auto"/>
        </w:rPr>
      </w:pPr>
    </w:p>
    <w:p>
      <w:pPr>
        <w:ind w:left="514" w:hanging="469"/>
        <w:spacing w:after="0"/>
        <w:tabs>
          <w:tab w:leader="none" w:pos="514"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broker non-vote?</w:t>
      </w:r>
    </w:p>
    <w:p>
      <w:pPr>
        <w:spacing w:after="0" w:line="200" w:lineRule="exact"/>
        <w:rPr>
          <w:sz w:val="20"/>
          <w:szCs w:val="20"/>
          <w:color w:val="auto"/>
        </w:rPr>
      </w:pPr>
    </w:p>
    <w:p>
      <w:pPr>
        <w:spacing w:after="0" w:line="286" w:lineRule="exact"/>
        <w:rPr>
          <w:sz w:val="20"/>
          <w:szCs w:val="20"/>
          <w:color w:val="auto"/>
        </w:rPr>
      </w:pPr>
    </w:p>
    <w:p>
      <w:pPr>
        <w:ind w:left="454" w:right="20" w:hanging="454"/>
        <w:spacing w:after="0" w:line="220" w:lineRule="auto"/>
        <w:tabs>
          <w:tab w:leader="none" w:pos="454"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a broker non-vote occurs when a bank, broker or other nominee that holds shares in "street name" for customers is precluded from exercising voting discretion on a particular proposal because (i) the beneficial owner has not instructed the bank, broker or other nominee how to vote, and (ii) the bank, broker or other nominee lacks discretionary voting power to vote such shares. A bank, broker or other nominee does not have discretionary voting power with respect to the approval of "non-routine" matters absent specific voting instructions from the beneficial owners of such shares.</w:t>
      </w:r>
    </w:p>
    <w:p>
      <w:pPr>
        <w:spacing w:after="0" w:line="9" w:lineRule="exact"/>
        <w:rPr>
          <w:rFonts w:ascii="Times New Roman" w:cs="Times New Roman" w:eastAsia="Times New Roman" w:hAnsi="Times New Roman"/>
          <w:sz w:val="18"/>
          <w:szCs w:val="18"/>
          <w:b w:val="1"/>
          <w:bCs w:val="1"/>
          <w:color w:val="auto"/>
        </w:rPr>
      </w:pPr>
    </w:p>
    <w:p>
      <w:pPr>
        <w:ind w:left="454" w:right="40"/>
        <w:spacing w:after="0" w:line="2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applicable rules, Proposals 1, 3, 4 and 5 are considered "non-routine" matters, on which banks, brokers and other nominees are not allowed to vote unless they have received voting instructions from the beneficial owners of such shares. The proposal to ratify the appointment of BDO as Westwood’s independent auditors for the year ending December 31, 2023 (Proposal 2) is considered a routine matter on which banks, brokers and other nominees may vote in their discretion on behalf of beneficial owners who have not provided voting instructions. Your bank, broker or other nominee will send you instructions on how you can instruct them to vote on Proposal 2. If you do not provide voting instructions, your bank, broker or other nominee will have discretionary authority to vote your shares with respect to Proposal 2.</w:t>
      </w:r>
    </w:p>
    <w:p>
      <w:pPr>
        <w:spacing w:after="0" w:line="223" w:lineRule="exact"/>
        <w:rPr>
          <w:rFonts w:ascii="Times New Roman" w:cs="Times New Roman" w:eastAsia="Times New Roman" w:hAnsi="Times New Roman"/>
          <w:sz w:val="18"/>
          <w:szCs w:val="18"/>
          <w:b w:val="1"/>
          <w:bCs w:val="1"/>
          <w:color w:val="auto"/>
        </w:rPr>
      </w:pPr>
    </w:p>
    <w:p>
      <w:pPr>
        <w:ind w:left="514" w:hanging="469"/>
        <w:spacing w:after="0"/>
        <w:tabs>
          <w:tab w:leader="none" w:pos="514"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approve each proposal?</w:t>
      </w:r>
    </w:p>
    <w:p>
      <w:pPr>
        <w:spacing w:after="0" w:line="162" w:lineRule="exact"/>
        <w:rPr>
          <w:sz w:val="20"/>
          <w:szCs w:val="20"/>
          <w:color w:val="auto"/>
        </w:rPr>
      </w:pPr>
    </w:p>
    <w:p>
      <w:pPr>
        <w:ind w:left="454" w:right="20" w:hanging="454"/>
        <w:spacing w:after="0" w:line="245" w:lineRule="auto"/>
        <w:tabs>
          <w:tab w:leader="none" w:pos="454"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1: The election of directors requires the affirmative "FOR" vote of a majority of the shares present in person (or virtually) or represented by proxy and entitled to vote on the election of directors at the annual meeting at which a quorum is present. You may vote "FOR," “AGAINST” or "ABSTAIN" with respect to the election of each director nominee. Abstentions will have the effect of votes “AGAINST” a director nominee, and broker non-votes will have no effect on the outcome of the election of directors.</w:t>
      </w:r>
    </w:p>
    <w:p>
      <w:pPr>
        <w:spacing w:after="0" w:line="18" w:lineRule="exact"/>
        <w:rPr>
          <w:rFonts w:ascii="Times New Roman" w:cs="Times New Roman" w:eastAsia="Times New Roman" w:hAnsi="Times New Roman"/>
          <w:sz w:val="18"/>
          <w:szCs w:val="18"/>
          <w:b w:val="1"/>
          <w:bCs w:val="1"/>
          <w:color w:val="auto"/>
        </w:rPr>
      </w:pPr>
    </w:p>
    <w:p>
      <w:pPr>
        <w:ind w:left="454" w:right="6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2: The ratification of the appointment of BDO as Westwood’s independent auditors for the year ending December 31, 2023 requires the affirmative "FOR" vote of a majority of the votes cast at the annual meeting. You may vote "FOR," “AGAINST” or "ABSTAIN" with respect to the ratification of our auditors. This proposal is considered a “routine” matter under applicable rules on which banks, brokers and other nominees may vote in their discretion on behalf of beneficial owners who have not provided voting instructions. Abstentions will have no effect on the outcome of this proposal.</w:t>
      </w:r>
    </w:p>
    <w:p>
      <w:pPr>
        <w:spacing w:after="0" w:line="22" w:lineRule="exact"/>
        <w:rPr>
          <w:rFonts w:ascii="Times New Roman" w:cs="Times New Roman" w:eastAsia="Times New Roman" w:hAnsi="Times New Roman"/>
          <w:sz w:val="18"/>
          <w:szCs w:val="18"/>
          <w:b w:val="1"/>
          <w:bCs w:val="1"/>
          <w:color w:val="auto"/>
        </w:rPr>
      </w:pPr>
    </w:p>
    <w:p>
      <w:pPr>
        <w:ind w:left="454" w:right="2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3: The approval of the Ninth Amended and Restated Westwood Holdings Group, Inc. Stock Incentive Plan requires the affirmative "FOR" vote of a majority of the votes cast at the annual meeting. You may vote "FOR," “AGAINST” or "ABSTAIN" with respect to this proposal. As the approval of Proposal 3 is a non-routine matter under applicable rules, your bank, broker or other nominee cannot vote without instructions from you. A broker non-vote is not a vote cast under applicable law or applicable NYSE rules and will have no effect on the outcome of this proposal. An abstention, however, is a vote cast under applicable NYSE rules and, as a result, abstentions will have the effect of votes "AGAINST" this proposal.</w:t>
      </w:r>
    </w:p>
    <w:p>
      <w:pPr>
        <w:spacing w:after="0" w:line="22" w:lineRule="exact"/>
        <w:rPr>
          <w:rFonts w:ascii="Times New Roman" w:cs="Times New Roman" w:eastAsia="Times New Roman" w:hAnsi="Times New Roman"/>
          <w:sz w:val="18"/>
          <w:szCs w:val="18"/>
          <w:b w:val="1"/>
          <w:bCs w:val="1"/>
          <w:color w:val="auto"/>
        </w:rPr>
      </w:pPr>
    </w:p>
    <w:p>
      <w:pPr>
        <w:ind w:left="454"/>
        <w:spacing w:after="0" w:line="24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4: The non-binding, advisory vote on the Company's executive compensation requires the affirmative "FOR" vote of a majority of the votes cast at the annual meeting. You may vote "FOR," “AGAINST” or "ABSTAIN" with respect to this proposal. As the advisory vote on the Company's executive compensation is a non-routine matter under applicable rules, your bank, broker or other nominee cannot vote without instructions from you. Abstentions and broker non-votes will have no effect on the outcome of this proposal.</w:t>
      </w:r>
    </w:p>
    <w:p>
      <w:pPr>
        <w:spacing w:after="0" w:line="18" w:lineRule="exact"/>
        <w:rPr>
          <w:rFonts w:ascii="Times New Roman" w:cs="Times New Roman" w:eastAsia="Times New Roman" w:hAnsi="Times New Roman"/>
          <w:sz w:val="18"/>
          <w:szCs w:val="18"/>
          <w:b w:val="1"/>
          <w:bCs w:val="1"/>
          <w:color w:val="auto"/>
        </w:rPr>
      </w:pPr>
    </w:p>
    <w:p>
      <w:pPr>
        <w:ind w:left="454" w:right="60"/>
        <w:spacing w:after="0" w:line="24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Proposal 5: The Board of Directors is seeking a non-binding, advisory vote on the recommended frequency for which the Company is to hold future stockholder advisory votes on the Company's executive compensation. Stockholders may indicate whether they recommend an advisory vote on our executive compensation once every one, two or three years or they may abstain from voting on this proposal. As the advisory vote on the frequency of future advisory votes on the Company's executive compensation is a non-routine matter under applicable rules, your bank, broker or other nominee cannot vote without instructions from you. Broker non-votes and abstentions will have no effect on the outcome of this proposal.</w:t>
      </w:r>
    </w:p>
    <w:p>
      <w:pPr>
        <w:spacing w:after="0" w:line="212" w:lineRule="exact"/>
        <w:rPr>
          <w:sz w:val="20"/>
          <w:szCs w:val="20"/>
          <w:color w:val="auto"/>
        </w:rPr>
      </w:pPr>
    </w:p>
    <w:p>
      <w:pPr>
        <w:jc w:val="center"/>
        <w:ind w:right="-1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74"/>
          </w:cols>
          <w:pgMar w:left="346" w:top="810"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PROCEDURES FOR VOTING</w:t>
      </w:r>
    </w:p>
    <w:p>
      <w:pPr>
        <w:spacing w:after="0" w:line="158" w:lineRule="exact"/>
        <w:rPr>
          <w:sz w:val="20"/>
          <w:szCs w:val="20"/>
          <w:color w:val="auto"/>
        </w:rPr>
      </w:pPr>
    </w:p>
    <w:p>
      <w:pPr>
        <w:ind w:left="540" w:hanging="469"/>
        <w:spacing w:after="0"/>
        <w:tabs>
          <w:tab w:leader="none" w:pos="54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w:t>
      </w:r>
    </w:p>
    <w:p>
      <w:pPr>
        <w:spacing w:after="0" w:line="200" w:lineRule="exact"/>
        <w:rPr>
          <w:rFonts w:ascii="Times New Roman" w:cs="Times New Roman" w:eastAsia="Times New Roman" w:hAnsi="Times New Roman"/>
          <w:sz w:val="18"/>
          <w:szCs w:val="18"/>
          <w:b w:val="1"/>
          <w:bCs w:val="1"/>
          <w:color w:val="auto"/>
        </w:rPr>
      </w:pPr>
    </w:p>
    <w:p>
      <w:pPr>
        <w:spacing w:after="0" w:line="285" w:lineRule="exact"/>
        <w:rPr>
          <w:rFonts w:ascii="Times New Roman" w:cs="Times New Roman" w:eastAsia="Times New Roman" w:hAnsi="Times New Roman"/>
          <w:sz w:val="18"/>
          <w:szCs w:val="18"/>
          <w:b w:val="1"/>
          <w:bCs w:val="1"/>
          <w:color w:val="auto"/>
        </w:rPr>
      </w:pPr>
    </w:p>
    <w:p>
      <w:pPr>
        <w:ind w:left="480" w:right="420" w:hanging="454"/>
        <w:spacing w:after="0" w:line="237" w:lineRule="auto"/>
        <w:tabs>
          <w:tab w:leader="none" w:pos="48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stockholders of record as of the close of business on March 6, 2023, the record date, will be entitled to vote on the proposals at the annual meeting. Each share of common stock is entitled to one vote.</w:t>
      </w:r>
    </w:p>
    <w:p>
      <w:pPr>
        <w:spacing w:after="0" w:line="221" w:lineRule="exact"/>
        <w:rPr>
          <w:rFonts w:ascii="Times New Roman" w:cs="Times New Roman" w:eastAsia="Times New Roman" w:hAnsi="Times New Roman"/>
          <w:sz w:val="18"/>
          <w:szCs w:val="18"/>
          <w:b w:val="1"/>
          <w:bCs w:val="1"/>
          <w:color w:val="auto"/>
        </w:rPr>
      </w:pPr>
    </w:p>
    <w:p>
      <w:pPr>
        <w:ind w:left="540" w:hanging="469"/>
        <w:spacing w:after="0"/>
        <w:tabs>
          <w:tab w:leader="none" w:pos="540"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200" w:lineRule="exact"/>
        <w:rPr>
          <w:sz w:val="20"/>
          <w:szCs w:val="20"/>
          <w:color w:val="auto"/>
        </w:rPr>
      </w:pPr>
    </w:p>
    <w:p>
      <w:pPr>
        <w:spacing w:after="0" w:line="286" w:lineRule="exact"/>
        <w:rPr>
          <w:sz w:val="20"/>
          <w:szCs w:val="20"/>
          <w:color w:val="auto"/>
        </w:rPr>
      </w:pPr>
    </w:p>
    <w:p>
      <w:pPr>
        <w:ind w:left="480" w:right="80" w:hanging="454"/>
        <w:spacing w:after="0" w:line="231" w:lineRule="auto"/>
        <w:tabs>
          <w:tab w:leader="none" w:pos="48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you are the record holder of your shares, you can vote by attending the annual virtual meeting or by completing, signing and returning your proxy card in the enclosed postage-paid envelope. You can also vote by Internet at </w:t>
      </w:r>
      <w:r>
        <w:rPr>
          <w:rFonts w:ascii="Times New Roman" w:cs="Times New Roman" w:eastAsia="Times New Roman" w:hAnsi="Times New Roman"/>
          <w:sz w:val="18"/>
          <w:szCs w:val="18"/>
          <w:i w:val="1"/>
          <w:iCs w:val="1"/>
          <w:color w:val="auto"/>
        </w:rPr>
        <w:t>www.virtualshareholdermeeting.com/WHG2023</w:t>
      </w:r>
      <w:r>
        <w:rPr>
          <w:rFonts w:ascii="Times New Roman" w:cs="Times New Roman" w:eastAsia="Times New Roman" w:hAnsi="Times New Roman"/>
          <w:sz w:val="18"/>
          <w:szCs w:val="18"/>
          <w:color w:val="auto"/>
        </w:rPr>
        <w:t xml:space="preserve"> using the control number shown on your proxy card or voting instruction card.</w:t>
      </w:r>
    </w:p>
    <w:p>
      <w:pPr>
        <w:spacing w:after="0" w:line="1" w:lineRule="exact"/>
        <w:rPr>
          <w:rFonts w:ascii="Times New Roman" w:cs="Times New Roman" w:eastAsia="Times New Roman" w:hAnsi="Times New Roman"/>
          <w:sz w:val="18"/>
          <w:szCs w:val="18"/>
          <w:b w:val="1"/>
          <w:bCs w:val="1"/>
          <w:color w:val="auto"/>
        </w:rPr>
      </w:pPr>
    </w:p>
    <w:p>
      <w:pPr>
        <w:ind w:left="480"/>
        <w:spacing w:after="0" w:line="2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your shares are held in street name, your proxy card may contain instructions from your broker that allow you to vote your shares using the Internet or telephone. Please consult with your broker if you have any questions regarding the electronic voting of your shares held in street name.</w:t>
      </w:r>
    </w:p>
    <w:p>
      <w:pPr>
        <w:spacing w:after="0" w:line="220" w:lineRule="exact"/>
        <w:rPr>
          <w:rFonts w:ascii="Times New Roman" w:cs="Times New Roman" w:eastAsia="Times New Roman" w:hAnsi="Times New Roman"/>
          <w:sz w:val="18"/>
          <w:szCs w:val="18"/>
          <w:b w:val="1"/>
          <w:bCs w:val="1"/>
          <w:color w:val="auto"/>
        </w:rPr>
      </w:pPr>
    </w:p>
    <w:p>
      <w:pPr>
        <w:ind w:left="540" w:hanging="469"/>
        <w:spacing w:after="0"/>
        <w:tabs>
          <w:tab w:leader="none" w:pos="540" w:val="left"/>
        </w:tabs>
        <w:numPr>
          <w:ilvl w:val="1"/>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proxy revocable and can I change my vote?</w:t>
      </w:r>
    </w:p>
    <w:p>
      <w:pPr>
        <w:spacing w:after="0" w:line="200" w:lineRule="exact"/>
        <w:rPr>
          <w:sz w:val="20"/>
          <w:szCs w:val="20"/>
          <w:color w:val="auto"/>
        </w:rPr>
      </w:pPr>
    </w:p>
    <w:p>
      <w:pPr>
        <w:spacing w:after="0" w:line="272" w:lineRule="exact"/>
        <w:rPr>
          <w:sz w:val="20"/>
          <w:szCs w:val="20"/>
          <w:color w:val="auto"/>
        </w:rPr>
      </w:pPr>
    </w:p>
    <w:p>
      <w:pPr>
        <w:ind w:left="520" w:hanging="494"/>
        <w:spacing w:after="0"/>
        <w:tabs>
          <w:tab w:leader="none" w:pos="5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stockholder of record you may revoke your proxy at any time before it is officially voted by doing one of the following:</w:t>
      </w:r>
    </w:p>
    <w:p>
      <w:pPr>
        <w:spacing w:after="0" w:line="27" w:lineRule="exact"/>
        <w:rPr>
          <w:rFonts w:ascii="Times New Roman" w:cs="Times New Roman" w:eastAsia="Times New Roman" w:hAnsi="Times New Roman"/>
          <w:sz w:val="18"/>
          <w:szCs w:val="18"/>
          <w:b w:val="1"/>
          <w:bCs w:val="1"/>
          <w:color w:val="auto"/>
        </w:rPr>
      </w:pPr>
    </w:p>
    <w:p>
      <w:pPr>
        <w:ind w:left="1060" w:hanging="535"/>
        <w:spacing w:after="0"/>
        <w:tabs>
          <w:tab w:leader="none" w:pos="10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revoking your proxy to our Corporate Secretary at 200 Crescent Court, Suite 1200, Dallas, Texas 75201;</w:t>
      </w:r>
    </w:p>
    <w:p>
      <w:pPr>
        <w:spacing w:after="0" w:line="22" w:lineRule="exact"/>
        <w:rPr>
          <w:rFonts w:ascii="Times New Roman" w:cs="Times New Roman" w:eastAsia="Times New Roman" w:hAnsi="Times New Roman"/>
          <w:sz w:val="18"/>
          <w:szCs w:val="18"/>
          <w:color w:val="auto"/>
        </w:rPr>
      </w:pPr>
    </w:p>
    <w:p>
      <w:pPr>
        <w:ind w:left="1060" w:hanging="535"/>
        <w:spacing w:after="0"/>
        <w:tabs>
          <w:tab w:leader="none" w:pos="10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and mailing to us a proxy bearing a later date;</w:t>
      </w:r>
    </w:p>
    <w:p>
      <w:pPr>
        <w:spacing w:after="0" w:line="22" w:lineRule="exact"/>
        <w:rPr>
          <w:rFonts w:ascii="Times New Roman" w:cs="Times New Roman" w:eastAsia="Times New Roman" w:hAnsi="Times New Roman"/>
          <w:sz w:val="18"/>
          <w:szCs w:val="18"/>
          <w:color w:val="auto"/>
        </w:rPr>
      </w:pPr>
    </w:p>
    <w:p>
      <w:pPr>
        <w:ind w:left="1060" w:hanging="535"/>
        <w:spacing w:after="0"/>
        <w:tabs>
          <w:tab w:leader="none" w:pos="10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your vote by Internet (if you voted by Internet); or</w:t>
      </w:r>
    </w:p>
    <w:p>
      <w:pPr>
        <w:spacing w:after="0" w:line="22" w:lineRule="exact"/>
        <w:rPr>
          <w:rFonts w:ascii="Times New Roman" w:cs="Times New Roman" w:eastAsia="Times New Roman" w:hAnsi="Times New Roman"/>
          <w:sz w:val="18"/>
          <w:szCs w:val="18"/>
          <w:color w:val="auto"/>
        </w:rPr>
      </w:pPr>
    </w:p>
    <w:p>
      <w:pPr>
        <w:ind w:left="1060" w:hanging="535"/>
        <w:spacing w:after="0"/>
        <w:tabs>
          <w:tab w:leader="none" w:pos="10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our virtual annual meeting and voting then.</w:t>
      </w:r>
    </w:p>
    <w:p>
      <w:pPr>
        <w:spacing w:after="0" w:line="301" w:lineRule="exact"/>
        <w:rPr>
          <w:sz w:val="20"/>
          <w:szCs w:val="20"/>
          <w:color w:val="auto"/>
        </w:rPr>
      </w:pPr>
    </w:p>
    <w:p>
      <w:pPr>
        <w:ind w:left="600" w:right="100"/>
        <w:spacing w:after="0" w:line="226" w:lineRule="auto"/>
        <w:rPr>
          <w:sz w:val="20"/>
          <w:szCs w:val="20"/>
          <w:color w:val="auto"/>
        </w:rPr>
      </w:pPr>
      <w:r>
        <w:rPr>
          <w:rFonts w:ascii="Times New Roman" w:cs="Times New Roman" w:eastAsia="Times New Roman" w:hAnsi="Times New Roman"/>
          <w:sz w:val="18"/>
          <w:szCs w:val="18"/>
          <w:color w:val="auto"/>
        </w:rPr>
        <w:t>If you are not a stockholder of record, but instead hold your shares in "street name" through a bank, broker or other nominee, the above-described options for revoking your proxy do not apply. Instead, you will need to follow the instructions provided to you by your bank, broker or other nominee in order to revoke your proxy and submit new voting instructions.</w:t>
      </w:r>
    </w:p>
    <w:p>
      <w:pPr>
        <w:spacing w:after="0" w:line="221" w:lineRule="exact"/>
        <w:rPr>
          <w:sz w:val="20"/>
          <w:szCs w:val="20"/>
          <w:color w:val="auto"/>
        </w:rPr>
      </w:pPr>
    </w:p>
    <w:p>
      <w:pPr>
        <w:ind w:left="580" w:hanging="464"/>
        <w:spacing w:after="0"/>
        <w:tabs>
          <w:tab w:leader="none" w:pos="580"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my vote confidential?</w:t>
      </w:r>
    </w:p>
    <w:p>
      <w:pPr>
        <w:spacing w:after="0" w:line="200" w:lineRule="exact"/>
        <w:rPr>
          <w:rFonts w:ascii="Times New Roman" w:cs="Times New Roman" w:eastAsia="Times New Roman" w:hAnsi="Times New Roman"/>
          <w:sz w:val="18"/>
          <w:szCs w:val="18"/>
          <w:b w:val="1"/>
          <w:bCs w:val="1"/>
          <w:color w:val="auto"/>
        </w:rPr>
      </w:pPr>
    </w:p>
    <w:p>
      <w:pPr>
        <w:spacing w:after="0" w:line="285" w:lineRule="exact"/>
        <w:rPr>
          <w:rFonts w:ascii="Times New Roman" w:cs="Times New Roman" w:eastAsia="Times New Roman" w:hAnsi="Times New Roman"/>
          <w:sz w:val="18"/>
          <w:szCs w:val="18"/>
          <w:b w:val="1"/>
          <w:bCs w:val="1"/>
          <w:color w:val="auto"/>
        </w:rPr>
      </w:pPr>
    </w:p>
    <w:p>
      <w:pPr>
        <w:ind w:left="480" w:right="280" w:hanging="454"/>
        <w:spacing w:after="0" w:line="237" w:lineRule="auto"/>
        <w:tabs>
          <w:tab w:leader="none" w:pos="48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Only the inspector of votes and certain of our employees will have access to your proxy card. All comments will remain confidential, unless you ask that your name be disclosed.</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OUR CURRENT STOCK OWNERSHIP</w:t>
      </w:r>
    </w:p>
    <w:p>
      <w:pPr>
        <w:spacing w:after="0" w:line="158" w:lineRule="exact"/>
        <w:rPr>
          <w:sz w:val="20"/>
          <w:szCs w:val="20"/>
          <w:color w:val="auto"/>
        </w:rPr>
      </w:pPr>
    </w:p>
    <w:p>
      <w:pPr>
        <w:ind w:left="500" w:hanging="474"/>
        <w:spacing w:after="0"/>
        <w:tabs>
          <w:tab w:leader="none" w:pos="50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percentage of stock do the directors and executive officers own?</w:t>
      </w:r>
    </w:p>
    <w:p>
      <w:pPr>
        <w:spacing w:after="0" w:line="256" w:lineRule="exact"/>
        <w:rPr>
          <w:sz w:val="20"/>
          <w:szCs w:val="20"/>
          <w:color w:val="auto"/>
        </w:rPr>
      </w:pPr>
    </w:p>
    <w:p>
      <w:pPr>
        <w:ind w:left="480" w:right="720" w:hanging="454"/>
        <w:spacing w:after="0" w:line="237" w:lineRule="auto"/>
        <w:tabs>
          <w:tab w:leader="none" w:pos="48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Collectively, our named executive officers and directors beneficially owned approximately 933,405 shares, or approximately 10.1%, of our outstanding common stock as of March 1, 2023.</w:t>
      </w:r>
    </w:p>
    <w:p>
      <w:pPr>
        <w:spacing w:after="0" w:line="77" w:lineRule="exact"/>
        <w:rPr>
          <w:rFonts w:ascii="Times New Roman" w:cs="Times New Roman" w:eastAsia="Times New Roman" w:hAnsi="Times New Roman"/>
          <w:sz w:val="18"/>
          <w:szCs w:val="18"/>
          <w:b w:val="1"/>
          <w:bCs w:val="1"/>
          <w:color w:val="auto"/>
        </w:rPr>
      </w:pPr>
    </w:p>
    <w:p>
      <w:pPr>
        <w:ind w:left="480" w:right="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believe that our executive officers and directors intend to vote their shares of our common stock on each of the proposals presented in this proxy statement as recommended by the Board of Directors.</w:t>
      </w:r>
    </w:p>
    <w:p>
      <w:pPr>
        <w:spacing w:after="0" w:line="200" w:lineRule="exact"/>
        <w:rPr>
          <w:sz w:val="20"/>
          <w:szCs w:val="20"/>
          <w:color w:val="auto"/>
        </w:rPr>
      </w:pPr>
    </w:p>
    <w:p>
      <w:pPr>
        <w:spacing w:after="0" w:line="337" w:lineRule="exact"/>
        <w:rPr>
          <w:sz w:val="20"/>
          <w:szCs w:val="20"/>
          <w:color w:val="auto"/>
        </w:rPr>
      </w:pPr>
    </w:p>
    <w:p>
      <w:pPr>
        <w:ind w:left="500" w:hanging="474"/>
        <w:spacing w:after="0"/>
        <w:tabs>
          <w:tab w:leader="none" w:pos="50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are the largest principal stockholders?</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792" w:right="379" w:bottom="1440" w:gutter="0" w:footer="0" w:header="0"/>
        </w:sectPr>
      </w:pPr>
    </w:p>
    <w:bookmarkStart w:id="8" w:name="page9"/>
    <w:bookmarkEnd w:id="8"/>
    <w:p>
      <w:pPr>
        <w:ind w:left="480" w:right="120" w:hanging="454"/>
        <w:spacing w:after="0" w:line="225" w:lineRule="auto"/>
        <w:tabs>
          <w:tab w:leader="none" w:pos="48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Based on our review of Schedule 13G, Schedule 13D and Form 13F filings, as of March 6, 2023, the ten institutional stockholders with the largest percentage ownership of our outstanding common stock were JCP Investment Management, LLC (9.1%), Allspring Global Investments Holding LLC (6.3%), DePrince, Race &amp; Zollo, Inc. (6.0%), Renaissance Technologies LLC (4.9%), GAMCO Investors, Inc. (4.9%), The Vanguard Group, Inc. (3.8%), Dimensional Fund Advisors LP (2.7%), Luther King Capital Management Corp (2.6%), North Star Investment Management Corp.</w:t>
      </w:r>
    </w:p>
    <w:p>
      <w:pPr>
        <w:spacing w:after="0" w:line="2" w:lineRule="exact"/>
        <w:rPr>
          <w:rFonts w:ascii="Times New Roman" w:cs="Times New Roman" w:eastAsia="Times New Roman" w:hAnsi="Times New Roman"/>
          <w:sz w:val="17"/>
          <w:szCs w:val="17"/>
          <w:b w:val="1"/>
          <w:bCs w:val="1"/>
          <w:color w:val="auto"/>
        </w:rPr>
      </w:pP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(2.4%) and BlackRock Fund Advisors (1.9%).</w:t>
      </w:r>
    </w:p>
    <w:p>
      <w:pPr>
        <w:spacing w:after="0" w:line="83" w:lineRule="exact"/>
        <w:rPr>
          <w:rFonts w:ascii="Times New Roman" w:cs="Times New Roman" w:eastAsia="Times New Roman" w:hAnsi="Times New Roman"/>
          <w:sz w:val="17"/>
          <w:szCs w:val="17"/>
          <w:b w:val="1"/>
          <w:bCs w:val="1"/>
          <w:color w:val="auto"/>
        </w:rPr>
      </w:pPr>
    </w:p>
    <w:p>
      <w:pPr>
        <w:jc w:val="both"/>
        <w:ind w:left="480"/>
        <w:spacing w:after="0" w:line="23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Brian O. Casey, our Chief Executive Officer, owned 4.7%, and Susan M. Byrne, our Vice Chairman, owned 2.9% of our outstanding common stock as of March 1, 2023. Our employees and directors, including Mr. Casey, collectively owned approximately 28.0% of our outstanding common stock as of March 1, 2023.</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INFORMATION</w:t>
      </w:r>
    </w:p>
    <w:p>
      <w:pPr>
        <w:spacing w:after="0" w:line="158" w:lineRule="exact"/>
        <w:rPr>
          <w:sz w:val="20"/>
          <w:szCs w:val="20"/>
          <w:color w:val="auto"/>
        </w:rPr>
      </w:pPr>
    </w:p>
    <w:p>
      <w:pPr>
        <w:ind w:left="500" w:hanging="474"/>
        <w:spacing w:after="0"/>
        <w:tabs>
          <w:tab w:leader="none" w:pos="5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soliciting my proxy and who will pay the solicitation expenses?</w:t>
      </w:r>
    </w:p>
    <w:p>
      <w:pPr>
        <w:spacing w:after="0" w:line="200" w:lineRule="exact"/>
        <w:rPr>
          <w:sz w:val="20"/>
          <w:szCs w:val="20"/>
          <w:color w:val="auto"/>
        </w:rPr>
      </w:pPr>
    </w:p>
    <w:p>
      <w:pPr>
        <w:spacing w:after="0" w:line="259" w:lineRule="exact"/>
        <w:rPr>
          <w:sz w:val="20"/>
          <w:szCs w:val="20"/>
          <w:color w:val="auto"/>
        </w:rPr>
      </w:pPr>
    </w:p>
    <w:p>
      <w:pPr>
        <w:jc w:val="both"/>
        <w:ind w:left="480" w:right="80" w:hanging="454"/>
        <w:spacing w:after="0" w:line="231" w:lineRule="auto"/>
        <w:tabs>
          <w:tab w:leader="none" w:pos="4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is soliciting your proxy by and on behalf of our Board of Directors, and we will pay the cost of preparing and distributing this proxy statement and the cost of soliciting votes. We will reimburse stockbrokers and other custodians, nominees and fiduciaries for forwarding proxy and solicitation material to the owners of our common stock.</w:t>
      </w:r>
    </w:p>
    <w:p>
      <w:pPr>
        <w:spacing w:after="0" w:line="221" w:lineRule="exact"/>
        <w:rPr>
          <w:rFonts w:ascii="Times New Roman" w:cs="Times New Roman" w:eastAsia="Times New Roman" w:hAnsi="Times New Roman"/>
          <w:sz w:val="18"/>
          <w:szCs w:val="18"/>
          <w:b w:val="1"/>
          <w:bCs w:val="1"/>
          <w:color w:val="auto"/>
        </w:rPr>
      </w:pPr>
    </w:p>
    <w:p>
      <w:pPr>
        <w:ind w:left="540" w:hanging="469"/>
        <w:spacing w:after="0"/>
        <w:tabs>
          <w:tab w:leader="none" w:pos="540"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help answer my additional questions?</w:t>
      </w:r>
    </w:p>
    <w:p>
      <w:pPr>
        <w:spacing w:after="0" w:line="200" w:lineRule="exact"/>
        <w:rPr>
          <w:sz w:val="20"/>
          <w:szCs w:val="20"/>
          <w:color w:val="auto"/>
        </w:rPr>
      </w:pPr>
    </w:p>
    <w:p>
      <w:pPr>
        <w:spacing w:after="0" w:line="286" w:lineRule="exact"/>
        <w:rPr>
          <w:sz w:val="20"/>
          <w:szCs w:val="20"/>
          <w:color w:val="auto"/>
        </w:rPr>
      </w:pPr>
    </w:p>
    <w:p>
      <w:pPr>
        <w:ind w:left="480" w:right="320" w:hanging="454"/>
        <w:spacing w:after="0" w:line="237" w:lineRule="auto"/>
        <w:tabs>
          <w:tab w:leader="none" w:pos="48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Stockholders who would like additional copies, without charge, of this proxy statement or have additional questions about this proxy statement, including the procedures for voting their shares, should contact:</w:t>
      </w:r>
    </w:p>
    <w:p>
      <w:pPr>
        <w:spacing w:after="0" w:line="9" w:lineRule="exact"/>
        <w:rPr>
          <w:rFonts w:ascii="Times New Roman" w:cs="Times New Roman" w:eastAsia="Times New Roman" w:hAnsi="Times New Roman"/>
          <w:sz w:val="18"/>
          <w:szCs w:val="18"/>
          <w:b w:val="1"/>
          <w:bCs w:val="1"/>
          <w:color w:val="auto"/>
        </w:rPr>
      </w:pPr>
    </w:p>
    <w:p>
      <w:pPr>
        <w:ind w:left="480" w:right="7060"/>
        <w:spacing w:after="0" w:line="21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Terry Forbes, Chief Financial Officer &amp; Treasurer Westwood Holdings Group, Inc.</w:t>
      </w:r>
    </w:p>
    <w:p>
      <w:pPr>
        <w:ind w:left="480" w:right="8400"/>
        <w:spacing w:after="0" w:line="22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200 Crescent Court, Suite 1200 Dallas, Texas 75201 Telephone: (214) 756-6900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question and answer section is qualified in its entirety by the more detailed information contained in this proxy statement.</w:t>
      </w:r>
    </w:p>
    <w:p>
      <w:pPr>
        <w:spacing w:after="0" w:line="11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This proxy statement contains important information that should be read before you vote on the proposals herein. You are strongly urged to read this proxy statement in its entirety. You are also strongly urged to read our Annual Report on Form 10-K for the year ended December 31, 2022, filed with the Securities and Exchange Commission ("SEC") on March 13, 2023 (the "2022 Form 10-K"), which is being sent to you with this proxy statement.</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810"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Bylaws provide that the Board of Directors of the Company (the "Board") will consist of between three and eleven directors, as may be determined from time to time by resolution of the Board. The Board has previously set the number of directors at eight but reduced the number of directors to six whose terms expire at the 2023 Annual Meeting. Each director elected at the 2023 Annual Meeting will serve until the 2024 Annual Meeting and thereafter until his or her successor has been elected and qualified or until the director's earlier death, resignation or removal. The Board of Directors has nominated the nominees listed below. Each nominee has consented to being named in this proxy statement and to serve if elected.</w:t>
      </w:r>
    </w:p>
    <w:p>
      <w:pPr>
        <w:spacing w:after="0" w:line="75"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We have no reason to believe that any of the nominees will not serve if elected but, if any of them should become unavailable to serve as a director, and if the Board of Directors designates a substitute nominee, the persons named in the accompanying proxy will vote for the substitute nominee designated by the Board of Directors, unless a contrary instruction is given in the proxy.</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Each stockholder is entitled to cast one vote for each director nominee per share of common stock held by them at the close of business on March 6,</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2023. The affirmative “FOR” vote of a majority of the shares present in person (or virtually) or represented by proxy and entitled to vote on the election of directors is required for the election of directors. Stockholders may vote “FOR,” “AGAINST” or “ABSTAIN” with respect to the election of each director nominee. Abstentions will have the same effect as votes against a director nominee, and broker non-votes will have no effect on the outcome of the election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persons nominated to be directors are listed below. The following information is submitted concerning the nominees for election as directors: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Age</w:t>
            </w:r>
          </w:p>
        </w:tc>
        <w:tc>
          <w:tcPr>
            <w:tcW w:w="7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 With Westwood</w:t>
            </w:r>
          </w:p>
        </w:tc>
      </w:tr>
      <w:tr>
        <w:trPr>
          <w:trHeight w:val="23"/>
        </w:trPr>
        <w:tc>
          <w:tcPr>
            <w:tcW w:w="3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7340" w:type="dxa"/>
            <w:vAlign w:val="bottom"/>
            <w:tcBorders>
              <w:bottom w:val="single" w:sz="8" w:color="auto"/>
            </w:tcBorders>
          </w:tcPr>
          <w:p>
            <w:pPr>
              <w:spacing w:after="0"/>
              <w:rPr>
                <w:sz w:val="2"/>
                <w:szCs w:val="2"/>
                <w:color w:val="auto"/>
              </w:rPr>
            </w:pPr>
          </w:p>
        </w:tc>
      </w:tr>
      <w:tr>
        <w:trPr>
          <w:trHeight w:val="228"/>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0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40" w:type="dxa"/>
            <w:vAlign w:val="bottom"/>
          </w:tcPr>
          <w:p>
            <w:pPr>
              <w:spacing w:after="0"/>
              <w:rPr>
                <w:sz w:val="19"/>
                <w:szCs w:val="19"/>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79"/>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8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Susan M. Byrne</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76</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Chairman of the Board of Directors</w:t>
            </w:r>
          </w:p>
        </w:tc>
      </w:tr>
      <w:tr>
        <w:trPr>
          <w:trHeight w:val="28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79</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83"/>
        </w:trPr>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40" w:type="dxa"/>
            <w:vAlign w:val="bottom"/>
          </w:tcPr>
          <w:p>
            <w:pPr>
              <w:spacing w:after="0"/>
              <w:rPr>
                <w:sz w:val="24"/>
                <w:szCs w:val="24"/>
                <w:color w:val="auto"/>
              </w:rPr>
            </w:pPr>
          </w:p>
        </w:tc>
        <w:tc>
          <w:tcPr>
            <w:tcW w:w="7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APPROVAL OF EACH OF THE DIRECTOR NOMINEES.</w:t>
      </w: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biographical information for each director nominee is set forth below.</w:t>
      </w:r>
    </w:p>
    <w:p>
      <w:pPr>
        <w:spacing w:after="0" w:line="102" w:lineRule="exact"/>
        <w:rPr>
          <w:sz w:val="20"/>
          <w:szCs w:val="20"/>
          <w:color w:val="auto"/>
        </w:rPr>
      </w:pPr>
    </w:p>
    <w:p>
      <w:pPr>
        <w:ind w:right="80" w:firstLine="648"/>
        <w:spacing w:after="0" w:line="252" w:lineRule="auto"/>
        <w:rPr>
          <w:sz w:val="20"/>
          <w:szCs w:val="20"/>
          <w:color w:val="auto"/>
        </w:rPr>
      </w:pPr>
      <w:r>
        <w:rPr>
          <w:rFonts w:ascii="Times New Roman" w:cs="Times New Roman" w:eastAsia="Times New Roman" w:hAnsi="Times New Roman"/>
          <w:sz w:val="17"/>
          <w:szCs w:val="17"/>
          <w:i w:val="1"/>
          <w:iCs w:val="1"/>
          <w:color w:val="auto"/>
        </w:rPr>
        <w:t xml:space="preserve">Brian O. Casey </w:t>
      </w:r>
      <w:r>
        <w:rPr>
          <w:rFonts w:ascii="Times New Roman" w:cs="Times New Roman" w:eastAsia="Times New Roman" w:hAnsi="Times New Roman"/>
          <w:sz w:val="17"/>
          <w:szCs w:val="17"/>
          <w:color w:val="auto"/>
        </w:rPr>
        <w:t>has served Westwood as Chief Executive Officer of Westwood since January 2006, as a director since its inception in December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2001, as President from December 2001 to May 2022, as Secretary from December 2001 to March 2014, and as Chief Operating Officer from 2001 to 2005. Mr. Casey has served as Chief Executive Officer of Westwood Management since January 2006, as a director since 2000, as President from 2002 to 2022, as Chief Operating Officer from 2000 to 2005, as Executive Vice President from 2000 to 2002, and as Vice President from 1992 to 1996. Mr. Casey has served as director of Westwood Trust since 1996 and also served as President of Westwood Trust from 1996 to 2013. Since 2002, Mr. Casey has served on the Tartan Board of Directors, a group exclusively devoted to raising money for the Texas Scottish Rite Hospital for Children. In 2020, he rejoined the board of the Baylor Health Care System Foundation, which helps raise money to support Baylor Health Care System’s mission of patient care, education, research and community service. Mr. Casey previously served on the Baylor Health Care System Foundation board from 2008 until 2017. In 2011, he was appointed to the Board of the Cooper Institute, an organization dedicated to scientific research in the field of preventative medicine and public health.</w:t>
      </w:r>
    </w:p>
    <w:p>
      <w:pPr>
        <w:spacing w:after="0" w:line="85"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As the Chief Executive Officer of the Company with over 23 years in senior executive roles with the Company, Mr. Casey brings extensive knowledge of and experience with the Company and its business as well as valuable leadership and management skills. Mr. Casey has deep knowledge of the Company's operations, strategies and competitive environment as well as the asset management industry as a whole.</w:t>
      </w:r>
    </w:p>
    <w:p>
      <w:pPr>
        <w:spacing w:after="0" w:line="66" w:lineRule="exact"/>
        <w:rPr>
          <w:sz w:val="20"/>
          <w:szCs w:val="20"/>
          <w:color w:val="auto"/>
        </w:rPr>
      </w:pPr>
    </w:p>
    <w:p>
      <w:pPr>
        <w:ind w:right="6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Richard M. Frank </w:t>
      </w:r>
      <w:r>
        <w:rPr>
          <w:rFonts w:ascii="Times New Roman" w:cs="Times New Roman" w:eastAsia="Times New Roman" w:hAnsi="Times New Roman"/>
          <w:sz w:val="18"/>
          <w:szCs w:val="18"/>
          <w:color w:val="auto"/>
        </w:rPr>
        <w:t>has served as a director of Westwood and Westwood Trust since February 2006, and as Chairman of the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2015. Mr. Frank was previously employed by CEC Entertainment, Inc. (“CEC”), a Dallas-based company that operates a chain of pizza and children’s entertainment restaurants, until his retirement in March 2014. CEC was an NYSE-listed company until February 2014. From December 2008 until February 2014, he served as Executive Chairman of the Board of CEC. Mr. Frank served CEC as a director from June 1985 to February 2014, as Chairman of the Board and Chief Executive Officer from March 1986 to December 2008, and as President and Chief Operating Officer from June 1985 to October 1988. Prior to CEC, Mr. Frank served for 12 years as Chief Operating Officer of S&amp;A Restaurant Co., a subsidiary of the Pillsbury Company.</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441" w:right="339" w:bottom="1440" w:gutter="0" w:footer="0" w:header="0"/>
        </w:sectPr>
      </w:pPr>
    </w:p>
    <w:bookmarkStart w:id="10" w:name="page11"/>
    <w:bookmarkEnd w:id="10"/>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Mr. Frank brings extensive knowledge with regard to executive and board level oversight of a public company through his significant experience as Chief Executive Officer, Chairman and director of CEC. Mr. Frank also has a deep understanding of business, governance, compensation and financial matters through his service with CEC.</w:t>
      </w:r>
    </w:p>
    <w:p>
      <w:pPr>
        <w:spacing w:after="0" w:line="66"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Susan M. Byrne </w:t>
      </w:r>
      <w:r>
        <w:rPr>
          <w:rFonts w:ascii="Times New Roman" w:cs="Times New Roman" w:eastAsia="Times New Roman" w:hAnsi="Times New Roman"/>
          <w:sz w:val="18"/>
          <w:szCs w:val="18"/>
          <w:color w:val="auto"/>
        </w:rPr>
        <w:t>has served as a director of Westwood since its inception in December 2001 and as Chairman of the Board of Directors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Westwood's inception through May 2015, at which time she began serving as Vice Chairman of the Board of Directors, a position which she currently holds. Ms. Byrne also serves as a consultant to the Company under a consulting agreement dated March 17, 2015. She served as Director, Global Initiatives for Westwood from February 2012 to July 2015, as Co-Chief Investment Officer from January 2011 to February 2012, as Chief Investment Officer from January 2006 to January 2011, and as Chief Executive Officer from December 2001 to December 2005. Ms. Byrne is the founder of Westwood Management Corp., and she has served as its Chairman of the Board since 1983, as Co-Chief Investment Officer from January 2011 to February 2012, as Chief Investment Officer from January 2006 to January 2011, as Chief Executive Officer from 1983 to 2005, and as President from 1983 to 2002. She served as a director of Westwood Trust from 1996 to 1999 and again since 2016.  She serves as a Trustee of the Impact Dallas Capital Board and is also a Trustee of the Naval Postgraduate School Foundation. Ms. Byrne has previously served as a board member of the Dallas Museum of Art, where she also served on the Executive Committee and as Treasurer. She is also a former Trustee of the Dallas Police &amp; Fire Pension System, the Board of Presbyterian Communities &amp; Services Foundation, the Board of the University of Texas Investment Management Company, and the Board of Trustees for the City of Dallas Employees Retirement Fund.</w:t>
      </w:r>
    </w:p>
    <w:p>
      <w:pPr>
        <w:spacing w:after="0" w:line="84"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As the Founder and Vice Chairman of the Board of the Company and reflecting her tenure with the Company and its subsidiaries for over 39 years, Ms. Byrne brings extensive knowledge of and experience with the Company and its business as well as valuable leadership and management experience. Ms. Byrne has deep knowledge of the Company's operations, strategies and competitive environment as well as the asset management industry as a whole. With over 50 years of experience in the investment management business, Ms. Byrne is uniquely qualified to provide insight to the Board on the Company's investment management strategies and operations.</w:t>
      </w:r>
    </w:p>
    <w:p>
      <w:pPr>
        <w:spacing w:after="0" w:line="7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Ellen H. Masterson </w:t>
      </w:r>
      <w:r>
        <w:rPr>
          <w:rFonts w:ascii="Times New Roman" w:cs="Times New Roman" w:eastAsia="Times New Roman" w:hAnsi="Times New Roman"/>
          <w:sz w:val="18"/>
          <w:szCs w:val="18"/>
          <w:color w:val="auto"/>
        </w:rPr>
        <w:t>has served as a director of Westwood and Westwood Trust since 2014. She retired as a partner with PricewaterhouseCoopers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(“PwC”) in 2008, having served in such capacity since 1999 and also from 1985 to 1997. Ms. Masterson specialized in the audits of companies involved in several sectors of the financial services industry, including investment management firms and public companies with a focus on mergers and acquisitions. She held senior positions within the leadership of PwC from 2001 to 2008, including international responsibilities across PwC’s global network. From 1997 to 1999, Ms. Masterson served as Senior Vice President and Chief Financial Officer of American General Corporation prior to its acquisition by American International Group, Inc. Ms. Masterson serves on the Board of Directors of Insperity, Inc (NYSE: NSP), a leading provider of human resource and comprehensive business performance solutions for small and medium-sized businesses, and on the Board of Governors of The Doctors Company, the</w:t>
      </w:r>
    </w:p>
    <w:p>
      <w:pPr>
        <w:spacing w:after="0" w:line="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largest doctor-owned medical malpractice insurer in the United States. Since 1982, she has served on the boards of directors for numerous nonprofit and charitable organizations.</w:t>
      </w:r>
    </w:p>
    <w:p>
      <w:pPr>
        <w:spacing w:after="0" w:line="54"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Ms. Masterson brings extensive knowledge of financial reporting and accounting issues faced by companies in the financial services industry, as well as experience with international business, strategic planning and corporate governance from 40 years of serving clients and acting as a public company Chief Financial Officer and a trustee of nonprofit organizations.</w:t>
      </w:r>
    </w:p>
    <w:p>
      <w:pPr>
        <w:spacing w:after="0" w:line="66" w:lineRule="exact"/>
        <w:rPr>
          <w:sz w:val="20"/>
          <w:szCs w:val="20"/>
          <w:color w:val="auto"/>
        </w:rPr>
      </w:pPr>
    </w:p>
    <w:p>
      <w:pPr>
        <w:ind w:right="60" w:firstLine="401"/>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Geoffrey R. Norman </w:t>
      </w:r>
      <w:r>
        <w:rPr>
          <w:rFonts w:ascii="Times New Roman" w:cs="Times New Roman" w:eastAsia="Times New Roman" w:hAnsi="Times New Roman"/>
          <w:sz w:val="18"/>
          <w:szCs w:val="18"/>
          <w:color w:val="auto"/>
        </w:rPr>
        <w:t>has served as a director of Westwood and Westwood Trust since April 2007. He was employed by General Electric from 1968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2004, serving in various roles including Comptroller of GE Española, Chief Financial Officer of GE International Contractor Equipment, Vice President &amp; Treasurer of GE Capital, and Executive Vice President of GE Asset Management. Mr. Norman serves on a global board for buildOn, a not-for-profit entity that builds schools in underdeveloped countries and organizes after-school clubs in US high schools. Mr. Norman also serves as a consultant to 5AM Ventures, a life science venture capital firm based in San Francisco, California.</w:t>
      </w:r>
    </w:p>
    <w:p>
      <w:pPr>
        <w:spacing w:after="0" w:line="7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Mr. Norman brings extensive financial, operational, regulatory and strategic expertise to the Board, having served in several finance and executive management roles over a 36-year career at General Electric. As a former executive with GE Asset Management, where he led the creation of GE's external money management business and served on the Boards of Trustees of the GE Pension Fund and GE Canada's Pension Plan, Mr. Norman brings extensive knowledge of the institutional investment management business from both asset manager and plan sponsor perspectives.</w:t>
      </w:r>
    </w:p>
    <w:p>
      <w:pPr>
        <w:spacing w:after="0" w:line="70"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Randy A. Bowman </w:t>
      </w:r>
      <w:r>
        <w:rPr>
          <w:rFonts w:ascii="Times New Roman" w:cs="Times New Roman" w:eastAsia="Times New Roman" w:hAnsi="Times New Roman"/>
          <w:sz w:val="18"/>
          <w:szCs w:val="18"/>
          <w:color w:val="auto"/>
        </w:rPr>
        <w:t>has served as a director of Westwood and Westwood Trust since 2021. He has served as the Chair, CEO and President of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LAST! – The Urban Boarding Experience ("AT LAST!"), a non-profit organization that provides impoverished elementary school-aged children with urban boarding opportunities and educational resources, from January 2017 to the present. From July 2001 to January 2017, Mr. Bowman served as the President and Co-Owner of MW Logistics, a provider of transportation and logistics solutions for Fortune 200 manufacturers. Since 2016, he has served as a Board member and Chair of Impact Dallas Capital, a fund supporting increased economic development in southern Dallas. From 2016 to 2020, Mr. Bowman served as a Board member and Chair of the City of Dallas Employee Retirement Fund. From 2011 to 2015, he served as Board Chair of the Parkland Hospital Foundation.</w:t>
      </w:r>
    </w:p>
    <w:p>
      <w:pPr>
        <w:spacing w:after="0" w:line="77"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Mr. Bowman brings business development, operational and strategic expertise as a result of his seventeen years owning and presiding over a successful logistics company, and experience with sophisticated corporate transactions from twelve years as a former corporate finance lawyer. As former Chair of the City of Dallas Employee Retirement Fund, he brings substantial knowledge of oversight of investment management and allocation from a plan sponsor perspective. Mr. Bowman also has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20"/>
          </w:cols>
          <w:pgMar w:left="320" w:top="553" w:right="359" w:bottom="1440" w:gutter="0" w:footer="0" w:header="0"/>
        </w:sectPr>
      </w:pPr>
    </w:p>
    <w:bookmarkStart w:id="11" w:name="page12"/>
    <w:bookmarkEnd w:id="11"/>
    <w:p>
      <w:pPr>
        <w:ind w:right="440"/>
        <w:spacing w:after="0" w:line="282" w:lineRule="auto"/>
        <w:rPr>
          <w:sz w:val="20"/>
          <w:szCs w:val="20"/>
          <w:color w:val="auto"/>
        </w:rPr>
      </w:pPr>
      <w:r>
        <w:rPr>
          <w:rFonts w:ascii="Times New Roman" w:cs="Times New Roman" w:eastAsia="Times New Roman" w:hAnsi="Times New Roman"/>
          <w:sz w:val="18"/>
          <w:szCs w:val="18"/>
          <w:color w:val="auto"/>
        </w:rPr>
        <w:t>extensive civic and community knowledge, reputation and relationship capital through his nonprofit service, having founded AT LAST! and served as Chair of multiple high-impact nonprofit organizations.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Information</w:t>
      </w:r>
    </w:p>
    <w:p>
      <w:pPr>
        <w:spacing w:after="0" w:line="121"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Board of Directors held eight meetings during 2022. All incumbent director nominees attended all meetings held in 2022 during their respective appointments. The standing committees of the Board of Directors currently consist of the Audit Committee, the Compensation and Human Capital Committee and the Governance/Nominating Committee. The membership and duties of these committees are described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17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Compensation and</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Governance/Nominating</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2"/>
            <w:vMerge w:val="continue"/>
          </w:tcPr>
          <w:p>
            <w:pPr>
              <w:spacing w:after="0"/>
              <w:rPr>
                <w:sz w:val="14"/>
                <w:szCs w:val="14"/>
                <w:color w:val="auto"/>
              </w:rPr>
            </w:pPr>
          </w:p>
        </w:tc>
        <w:tc>
          <w:tcPr>
            <w:tcW w:w="17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Human Capital</w:t>
            </w:r>
          </w:p>
        </w:tc>
        <w:tc>
          <w:tcPr>
            <w:tcW w:w="1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7"/>
        </w:trPr>
        <w:tc>
          <w:tcPr>
            <w:tcW w:w="40" w:type="dxa"/>
            <w:vAlign w:val="bottom"/>
          </w:tcPr>
          <w:p>
            <w:pPr>
              <w:spacing w:after="0"/>
              <w:rPr>
                <w:sz w:val="19"/>
                <w:szCs w:val="19"/>
                <w:color w:val="auto"/>
              </w:rPr>
            </w:pPr>
          </w:p>
        </w:tc>
        <w:tc>
          <w:tcPr>
            <w:tcW w:w="6060" w:type="dxa"/>
            <w:vAlign w:val="bottom"/>
            <w:gridSpan w:val="2"/>
          </w:tcPr>
          <w:p>
            <w:pPr>
              <w:ind w:left="2260"/>
              <w:spacing w:after="0"/>
              <w:rPr>
                <w:sz w:val="20"/>
                <w:szCs w:val="20"/>
                <w:color w:val="auto"/>
              </w:rPr>
            </w:pPr>
            <w:r>
              <w:rPr>
                <w:rFonts w:ascii="Times New Roman" w:cs="Times New Roman" w:eastAsia="Times New Roman" w:hAnsi="Times New Roman"/>
                <w:sz w:val="14"/>
                <w:szCs w:val="14"/>
                <w:b w:val="1"/>
                <w:bCs w:val="1"/>
                <w:i w:val="1"/>
                <w:iCs w:val="1"/>
                <w:color w:val="auto"/>
              </w:rPr>
              <w:t>Independent Directors</w:t>
            </w:r>
            <w:r>
              <w:rPr>
                <w:rFonts w:ascii="Times New Roman" w:cs="Times New Roman" w:eastAsia="Times New Roman" w:hAnsi="Times New Roman"/>
                <w:sz w:val="18"/>
                <w:szCs w:val="18"/>
                <w:b w:val="1"/>
                <w:bCs w:val="1"/>
                <w:i w:val="1"/>
                <w:iCs w:val="1"/>
                <w:color w:val="auto"/>
                <w:vertAlign w:val="superscript"/>
              </w:rPr>
              <w:t>(1)</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9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Richard M. Frank</w:t>
            </w:r>
            <w:r>
              <w:rPr>
                <w:rFonts w:ascii="Times New Roman" w:cs="Times New Roman" w:eastAsia="Times New Roman" w:hAnsi="Times New Roman"/>
                <w:sz w:val="23"/>
                <w:szCs w:val="23"/>
                <w:color w:val="auto"/>
                <w:vertAlign w:val="superscript"/>
              </w:rPr>
              <w:t>(2)</w:t>
            </w:r>
          </w:p>
        </w:tc>
        <w:tc>
          <w:tcPr>
            <w:tcW w:w="12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Ellen H. Masterson</w:t>
            </w:r>
            <w:r>
              <w:rPr>
                <w:rFonts w:ascii="Times New Roman" w:cs="Times New Roman" w:eastAsia="Times New Roman" w:hAnsi="Times New Roman"/>
                <w:sz w:val="23"/>
                <w:szCs w:val="23"/>
                <w:color w:val="auto"/>
                <w:vertAlign w:val="superscript"/>
              </w:rPr>
              <w:t>(3)</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Geoffrey R. Norman</w:t>
            </w:r>
            <w:r>
              <w:rPr>
                <w:rFonts w:ascii="Times New Roman" w:cs="Times New Roman" w:eastAsia="Times New Roman" w:hAnsi="Times New Roman"/>
                <w:sz w:val="23"/>
                <w:szCs w:val="23"/>
                <w:color w:val="auto"/>
                <w:vertAlign w:val="superscript"/>
              </w:rPr>
              <w:t>(3)</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C</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7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60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Raymond E. Wooldridge</w:t>
            </w:r>
            <w:r>
              <w:rPr>
                <w:rFonts w:ascii="Times New Roman" w:cs="Times New Roman" w:eastAsia="Times New Roman" w:hAnsi="Times New Roman"/>
                <w:sz w:val="23"/>
                <w:szCs w:val="23"/>
                <w:color w:val="auto"/>
                <w:vertAlign w:val="superscript"/>
              </w:rPr>
              <w:t>(4)</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w:t>
            </w:r>
          </w:p>
        </w:tc>
        <w:tc>
          <w:tcPr>
            <w:tcW w:w="17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w:t>
            </w:r>
          </w:p>
        </w:tc>
        <w:tc>
          <w:tcPr>
            <w:tcW w:w="0" w:type="dxa"/>
            <w:vAlign w:val="bottom"/>
          </w:tcPr>
          <w:p>
            <w:pPr>
              <w:spacing w:after="0"/>
              <w:rPr>
                <w:sz w:val="1"/>
                <w:szCs w:val="1"/>
                <w:color w:val="auto"/>
              </w:rPr>
            </w:pPr>
          </w:p>
        </w:tc>
      </w:tr>
      <w:tr>
        <w:trPr>
          <w:trHeight w:val="202"/>
        </w:trPr>
        <w:tc>
          <w:tcPr>
            <w:tcW w:w="5980" w:type="dxa"/>
            <w:vAlign w:val="bottom"/>
            <w:gridSpan w:val="2"/>
          </w:tcPr>
          <w:p>
            <w:pPr>
              <w:jc w:val="right"/>
              <w:ind w:right="5033"/>
              <w:spacing w:after="0"/>
              <w:rPr>
                <w:sz w:val="20"/>
                <w:szCs w:val="20"/>
                <w:color w:val="auto"/>
              </w:rPr>
            </w:pPr>
            <w:r>
              <w:rPr>
                <w:rFonts w:ascii="Times New Roman" w:cs="Times New Roman" w:eastAsia="Times New Roman" w:hAnsi="Times New Roman"/>
                <w:sz w:val="9"/>
                <w:szCs w:val="9"/>
                <w:color w:val="auto"/>
                <w:w w:val="98"/>
              </w:rPr>
              <w:t>___________________</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right="9820" w:firstLine="8"/>
        <w:spacing w:after="0" w:line="285" w:lineRule="auto"/>
        <w:tabs>
          <w:tab w:leader="none" w:pos="272"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member C Committee chair</w:t>
      </w:r>
    </w:p>
    <w:p>
      <w:pPr>
        <w:spacing w:after="0" w:line="1" w:lineRule="exact"/>
        <w:rPr>
          <w:sz w:val="20"/>
          <w:szCs w:val="20"/>
          <w:color w:val="auto"/>
        </w:rPr>
      </w:pPr>
    </w:p>
    <w:p>
      <w:pPr>
        <w:ind w:left="660" w:right="240" w:hanging="652"/>
        <w:spacing w:after="0" w:line="271" w:lineRule="auto"/>
        <w:tabs>
          <w:tab w:leader="none" w:pos="32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all members of the Audit, Compensation and Human Capital, and Governance/Nominating Committees are "independent directors" under the applicable rules of the NYSE and the Securities and Exchange Commission ("SEC").</w:t>
      </w:r>
    </w:p>
    <w:p>
      <w:pPr>
        <w:ind w:left="320" w:hanging="312"/>
        <w:spacing w:after="0"/>
        <w:tabs>
          <w:tab w:leader="none" w:pos="32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Richard M. Frank is the Chairman of the Board of Directors and, as such, he chairs executive sessions of the Board of Directors.</w:t>
      </w:r>
    </w:p>
    <w:p>
      <w:pPr>
        <w:spacing w:after="0" w:line="28" w:lineRule="exact"/>
        <w:rPr>
          <w:rFonts w:ascii="Times New Roman" w:cs="Times New Roman" w:eastAsia="Times New Roman" w:hAnsi="Times New Roman"/>
          <w:sz w:val="14"/>
          <w:szCs w:val="14"/>
          <w:color w:val="auto"/>
        </w:rPr>
      </w:pPr>
    </w:p>
    <w:p>
      <w:pPr>
        <w:ind w:left="660" w:right="300" w:hanging="652"/>
        <w:spacing w:after="0" w:line="271" w:lineRule="auto"/>
        <w:tabs>
          <w:tab w:leader="none" w:pos="321"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Board of Directors has determined that Geoffrey R. Norman and Ellen H. Masterson are qualified as Audit Committee financial experts within the meaning of the regulations of the SEC and have accounting and related financial management expertise within the meaning of the NYSE Corporate Governance Listing Standards.</w:t>
      </w:r>
    </w:p>
    <w:p>
      <w:pPr>
        <w:ind w:left="660" w:right="640" w:hanging="652"/>
        <w:spacing w:after="0" w:line="282" w:lineRule="auto"/>
        <w:tabs>
          <w:tab w:leader="none" w:pos="35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Raymond E. Wooldridge served as a director and was a member of the Audit, Compensation and Human Capital, and Governance/Nominating Committees until the 2022 Annual Shareholders Meeting, at which time he did not stand for re-election.</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Board Committees</w:t>
      </w:r>
    </w:p>
    <w:p>
      <w:pPr>
        <w:spacing w:after="0" w:line="117" w:lineRule="exact"/>
        <w:rPr>
          <w:sz w:val="20"/>
          <w:szCs w:val="20"/>
          <w:color w:val="auto"/>
        </w:rPr>
      </w:pPr>
    </w:p>
    <w:p>
      <w:pPr>
        <w:ind w:right="40" w:firstLine="405"/>
        <w:spacing w:after="0" w:line="252"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The Audit Committee operates pursuant to a charter approved by our Board of Directors, which the Audit Committee reviews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periodically to determine if revisions are necessary or appropriate. A copy of the charter is posted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charter is available upon written request to our Corporate Secretary at our principal executive office (200 Crescent Court, Suite 1200, Dallas, Texas 75201). The Audit Committee monitors our independent auditors as well as the preparation of our financial statements and our system of internal control over financial reporting. The Audit Committee selects an independent accounting firm to conduct the annual audit, monitors the independence of our independent accountants, monitors our accounting and financial reporting processes and the audits of our financial statements. The Audit Committee is responsible for reviewing reports from management relating to our financial condition and other matters that may have a material impact on our financial statements and compliance policies. The Audit Committee is responsible for asking our management and independent auditors about the appropriateness of the accounting principles we follow, as well as reviewing changes in accounting principles and their impact on our financial statements in terms of the scope of audits conducted or scheduled to be conducted. The Audit Committee is further responsible for preparing a report stating, among other things, whether our audited financial statements should be included in our Annual Report on Form 10-K. Finally, the Audit Committee evaluates the adequacy and effectiveness of our risk assessment, risk management policies, cybersecurity testing and policies, and overall enterprise risk management, including Environmental, Social and Governance ("ESG"). The Audit Committee met five times during 2022. Mr. Wooldridge did not stand for re-election at the 2022 Annual Shareholder meeting and therefore did not attend Audit Committee meetings following the February meeting. All other members of the Audit Committee attended all meetings held in 2022 during their respective appointments.</w:t>
      </w:r>
    </w:p>
    <w:p>
      <w:pPr>
        <w:spacing w:after="0" w:line="8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Compensation and Human Capital Committee</w:t>
      </w:r>
      <w:r>
        <w:rPr>
          <w:rFonts w:ascii="Times New Roman" w:cs="Times New Roman" w:eastAsia="Times New Roman" w:hAnsi="Times New Roman"/>
          <w:sz w:val="18"/>
          <w:szCs w:val="18"/>
          <w:color w:val="auto"/>
        </w:rPr>
        <w:t>. The Compensation and Human Capital Committee operates pursuant to a charter approved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which the Compensation and Human Capital 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Compensation and Human Capital Committee supports the Board of Directors by establishing the Company’s executive compensation philosophy and objectives, overseeing the development and implementation of the Company’s compensation, benefits and retirement policies and programs, reviewing and approving Company and individual goals relevant to the compensation of the CEO and other executive officers, recommending the compensation of the CEO for approval by the Board of Directors, and determining and administering the compensation for our other executive officers. In addition, the Compensation and Human Capital Committee oversees the Company’s incentive compensation plans, determines any incentive awards to be made to our officers, oversees our stock incentive and other equity ownership plans, reviews management development and succession plans related to executive officers, reviews the Company’s human capital initiatives related to diversity, equity and inclusion programs and other workforce initiatives, as well as oversees other matters relating to compensation and benefits. The Compensation and Human Capital Committee met five times during 2022. Mr. Wooldridge did not stand for re-election at the 2022 Annual Shareholder meeting and therefore did not attend</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553" w:right="339" w:bottom="1440" w:gutter="0" w:footer="0" w:header="0"/>
        </w:sectPr>
      </w:pPr>
    </w:p>
    <w:bookmarkStart w:id="12" w:name="page13"/>
    <w:bookmarkEnd w:id="12"/>
    <w:p>
      <w:pPr>
        <w:ind w:right="820"/>
        <w:spacing w:after="0" w:line="294" w:lineRule="auto"/>
        <w:rPr>
          <w:sz w:val="20"/>
          <w:szCs w:val="20"/>
          <w:color w:val="auto"/>
        </w:rPr>
      </w:pPr>
      <w:r>
        <w:rPr>
          <w:rFonts w:ascii="Times New Roman" w:cs="Times New Roman" w:eastAsia="Times New Roman" w:hAnsi="Times New Roman"/>
          <w:sz w:val="18"/>
          <w:szCs w:val="18"/>
          <w:color w:val="auto"/>
        </w:rPr>
        <w:t>Compensation and Human Capital Committee meetings after the February meeting. All other members of the Compensation and Human Capital Committee attended all meetings held in 2022 during their respective appointments</w:t>
      </w:r>
      <w:r>
        <w:rPr>
          <w:rFonts w:ascii="Times New Roman" w:cs="Times New Roman" w:eastAsia="Times New Roman" w:hAnsi="Times New Roman"/>
          <w:sz w:val="21"/>
          <w:szCs w:val="21"/>
          <w:color w:val="auto"/>
        </w:rPr>
        <w:t>.</w:t>
      </w:r>
    </w:p>
    <w:p>
      <w:pPr>
        <w:spacing w:after="0" w:line="72"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CEO, who is not a member of the Compensation and Human Capital Committee, attended all of the Committee’s meetings held in 2022 in order to contribute to and understand the Committee’s oversight of our executive compensation. The CEO did not attend portions of meetings relating to his own compensation. The Compensation and Human Capital Committee regularly conducts executive sessions without management present.</w:t>
      </w:r>
    </w:p>
    <w:p>
      <w:pPr>
        <w:spacing w:after="0" w:line="68"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Compensation and Human Capital Committee engages in an ongoing dialog with the CEO and the Committee’s independent compensation consultants in the evaluation and establishment of our executive compensation program and received input from the Senior Vice President, Head of Human Capital when making executive compensation decisions.</w:t>
      </w:r>
    </w:p>
    <w:p>
      <w:pPr>
        <w:spacing w:after="0" w:line="68"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retained Meridian Compensation Partners, LLC (“Meridian”) in 2022 to serve as an independent consultant to the Committee regarding executive compensation. The Committee did not direct Meridian to perform its services in any particular manner or under any particular method. The Committee has the final authority to retain the compensation consultant and it evaluates the compensation consultant annually. Meridian does not provide any services to the Company other than as an advisor to the Committee and the Committee has determined that no conflicts of interest exist as a result of the engagement of Meridian.</w:t>
      </w:r>
    </w:p>
    <w:p>
      <w:pPr>
        <w:spacing w:after="0" w:line="73"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Governance/Nominating Committee</w:t>
      </w:r>
      <w:r>
        <w:rPr>
          <w:rFonts w:ascii="Times New Roman" w:cs="Times New Roman" w:eastAsia="Times New Roman" w:hAnsi="Times New Roman"/>
          <w:sz w:val="18"/>
          <w:szCs w:val="18"/>
          <w:color w:val="auto"/>
        </w:rPr>
        <w:t>. The Governance/Nominating Committee operates pursuant to a charter approved by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Governance/Nominating Committee reviews periodically to determine if revisions are necessary or appropriate. A copy of the charter is posted on our website at westwoodgroup.com. In addition, a copy of the charter is available upon written request to our Corporate Secretary at our principal executive office (200 Crescent Court, Suite 1200, Dallas, Texas 75201). The primary function of the Governance/Nominating Committee is to develop and oversee the application of corporate governance principles to Westwood, to identify and evaluate qualified candidates for Board membership, recommend director nominees to the Board to be voted on at the annual meeting of stockholders, and communicate with members of the Board regarding Board and committee meeting format and procedures. The Governance/Nominating Committee met four times during 2022. Mr. Wooldridge did not stand for re-election at the 2022 Annual Shareholder meeting and therefore did not attend Governance/Nominating Committee meetings after the February meeting. All other members of the Governance/Nominating Committee attended all meetings held in 2022 during their respective appointments.</w:t>
      </w:r>
    </w:p>
    <w:p>
      <w:pPr>
        <w:spacing w:after="0" w:line="8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Director Independence</w:t>
      </w:r>
    </w:p>
    <w:p>
      <w:pPr>
        <w:spacing w:after="0" w:line="119"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 xml:space="preserve">Our Board of Directors has adopted Corporate Governance Guidelines regarding director independence, among other matters. The full text of our Corporate Governance Guidelines is available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our Corporate Governance Guidelines is available upon written request to our Corporate Secretary at our principal executive office (200 Crescent Court, Suite 1200, Dallas, Texas 75201).</w:t>
      </w:r>
    </w:p>
    <w:p>
      <w:pPr>
        <w:spacing w:after="0" w:line="68"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Pursuant to our Corporate Governance Guidelines, a majority of the members of our Board, as well as all members of each committee of the Board, must be non-management directors who meet the "independence" requirements of the NYSE Corporate Governance Listing Standards and other governing laws and regulations. In addition, all members of the Audit Committee must meet additional "independence" standards required under the Exchange Act. Our Board of Directors reviews director independence annually. In the 2022 review, the Board reviewed directors' responses to a questionnaire asking about their relationships, and the relationships of their family members, with us, and other potential conflicts of interest. Our Board is aware that some of our directors and individuals or entities affiliated with such directors have asset management accounts held by one of our subsidiaries and managed by us. Our Board of Directors reviewed 2022 donations made during 2022 by Messrs. Casey, Norman and Ms. Byrne to AT LAST! and did not consider the donations to be an impairment of Mr. Bowman’s independence. After noting such items, our Board of Directors unanimously determined that none of these relationships constituted a material relationship with us that would affect the “independence” of any such director under SEC and NYSE rules.</w:t>
      </w:r>
    </w:p>
    <w:p>
      <w:pPr>
        <w:spacing w:after="0" w:line="80"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The Board affirmatively determined that Messrs. Frank, Norman, Bowman and Ms. Masterson are “independent” as defined under SEC and NYSE rules. Ms. Byrne, who currently serves as a consultant to the Company, and Mr. Casey, who served as an executive officer of the Company during 2022, are not independent directors.</w:t>
      </w:r>
    </w:p>
    <w:p>
      <w:pPr>
        <w:spacing w:after="0" w:line="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Board Leadership Structure</w:t>
      </w:r>
    </w:p>
    <w:p>
      <w:pPr>
        <w:spacing w:after="0" w:line="119"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separates the roles of Chief Executive Officer and Chairman of the Board; however, the Board does not have a policy that requires these two roles to remain separate. Brian O. Casey serves as our Chief Executive Officer and director, and Richard M. Frank serves as our Chairman of the Board. As Chief Executive Officer, Mr. Casey has primary responsibility for the day-to-day operations of the Company and provides leadership on the Company’s key strategic objectives. As Chairman of the Board, Mr. Frank (i) provides leadership to the Board and chairs its meetings, (ii) chairs executive sessions of the non-management directors, and (iii) sets the agendas for such meetings and sessions. In accordance with our Corporate Governance Guidelines, our non-management directors meet in executive session without the presence of management on a regular basis.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553" w:right="339" w:bottom="1440" w:gutter="0" w:footer="0" w:header="0"/>
        </w:sectPr>
      </w:pPr>
    </w:p>
    <w:bookmarkStart w:id="13" w:name="page14"/>
    <w:bookmarkEnd w:id="13"/>
    <w:p>
      <w:pPr>
        <w:ind w:right="160" w:firstLine="405"/>
        <w:spacing w:after="0" w:line="256" w:lineRule="auto"/>
        <w:rPr>
          <w:sz w:val="20"/>
          <w:szCs w:val="20"/>
          <w:color w:val="auto"/>
        </w:rPr>
      </w:pPr>
      <w:r>
        <w:rPr>
          <w:rFonts w:ascii="Times New Roman" w:cs="Times New Roman" w:eastAsia="Times New Roman" w:hAnsi="Times New Roman"/>
          <w:sz w:val="18"/>
          <w:szCs w:val="18"/>
          <w:color w:val="auto"/>
        </w:rPr>
        <w:t>With a supermajority of independent directors, an Audit Committee, a Compensation and Human Capital Committee and a Governance/Nominating Committee each comprised entirely of independent directors, a Chairman of the Board who chairs all executive sessions of the non-management directors and who has extensive knowledge with regard to executive and board level oversight of a public company through his significant experience as chief executive officer, chairman and board director of CEC, and who also has a deep understanding of business, governance, compensation and financial matters, the Board of Directors believes that its current leadership structure provides an appropriate balance that best serves the Company and its stockholders.</w:t>
      </w:r>
    </w:p>
    <w:p>
      <w:pPr>
        <w:spacing w:after="0" w:line="7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Board's Role in Risk Oversight</w:t>
      </w:r>
    </w:p>
    <w:p>
      <w:pPr>
        <w:spacing w:after="0" w:line="119"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Board’s role in the Company’s risk oversight process includes receiving regular reports from members of senior management on the Company’s enterprise risk management committee regarding areas of material risk to the Company, including operational, financial, legal and regulatory, cybersecurity, ESG and strategic risks. The Audit Committee is responsible for oversight of risks relating to accounting matters, financial reporting, cybersecurity and legal and regulatory compliance. To satisfy these oversight responsibilities, the Audit Committee meets regularly with management, the Company's internal auditor and BDO, the Company's independent auditor. The Audit Committee also oversees and approves the engagement of a third-party service provider to perform cybersecurity assistance services and cybersecurity testing throughout the year. The Compensation and Human Capital Committee is responsible for overseeing risks relating to employment policies and the Company's compensation and benefits programs, including diversity, equity and inclusion. To satisfy these oversight responsibilities, the Compensation and Human Capital Committee meets regularly with management to understand the implications of compensation decisions, particularly the risks the Company’s compensation policies may pose to the Company’s financial condition, human resources and stockholders. The Governance/Nominating Committee is responsible for overseeing risks relating to overall corporate governance and succession planning. To satisfy these oversight responsibilities, the Governance/Nominating Committee annually reviews Board composition, as well as Board and committee performance, and periodically reports to the Board on corporate governance and succession planning matters.</w:t>
      </w:r>
    </w:p>
    <w:p>
      <w:pPr>
        <w:spacing w:after="0" w:line="82"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Our Board’s risk oversight function is supported by our directors, Mr. Casey and Ms. Byrne, whose industry knowledge and experience provide the Board with a deep understanding of the risks facing the Company. The Board believes that having Mr. Casey and Ms. Byrne on the Board, together with a supermajority of independent directors and three wholly independent Board committees, provides the appropriate leadership structure for effective risk oversight by the Board.</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Risks Related to Compensation Policies and Practices</w:t>
      </w:r>
    </w:p>
    <w:p>
      <w:pPr>
        <w:spacing w:after="0" w:line="119" w:lineRule="exact"/>
        <w:rPr>
          <w:sz w:val="20"/>
          <w:szCs w:val="20"/>
          <w:color w:val="auto"/>
        </w:rPr>
      </w:pPr>
    </w:p>
    <w:p>
      <w:pPr>
        <w:ind w:right="300" w:firstLine="405"/>
        <w:spacing w:after="0" w:line="258" w:lineRule="auto"/>
        <w:rPr>
          <w:sz w:val="20"/>
          <w:szCs w:val="20"/>
          <w:color w:val="auto"/>
        </w:rPr>
      </w:pPr>
      <w:r>
        <w:rPr>
          <w:rFonts w:ascii="Times New Roman" w:cs="Times New Roman" w:eastAsia="Times New Roman" w:hAnsi="Times New Roman"/>
          <w:sz w:val="18"/>
          <w:szCs w:val="18"/>
          <w:color w:val="auto"/>
        </w:rPr>
        <w:t>As part of its oversight of the Company’s executive and non-executive compensation programs, the Compensation and Human Capital Committee considers the impact on our risk profile of our compensation programs, and the incentives created by the compensation awards that it administers. The Committee reviews the Company’s compensation policies and procedures, including incentives and factors that may influence excessive risk-taking, to determine whether they present a material risk to the Company. The Compensation and Human Capital Committee also utilizes the following risk mitigating factors:</w:t>
      </w:r>
    </w:p>
    <w:p>
      <w:pPr>
        <w:spacing w:after="0" w:line="9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Overall compensation levels that are competitive with the market;</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Limits on annual cash incentive awards;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Discretionary authority to reduce annual cash incentive awards;</w:t>
      </w:r>
    </w:p>
    <w:p>
      <w:pPr>
        <w:spacing w:after="0" w:line="143" w:lineRule="exact"/>
        <w:rPr>
          <w:rFonts w:ascii="Arial" w:cs="Arial" w:eastAsia="Arial" w:hAnsi="Arial"/>
          <w:sz w:val="22"/>
          <w:szCs w:val="22"/>
          <w:color w:val="auto"/>
        </w:rPr>
      </w:pPr>
    </w:p>
    <w:p>
      <w:pPr>
        <w:ind w:left="660" w:right="18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Long-term equity incentive awards to reward executives and other key employees for driving sustainable, profitable growth for stockholders and clients;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Vesting periods for long-term equity incentive awards that encourage key employees to focus on sustained stock price appreciation;</w:t>
      </w:r>
    </w:p>
    <w:p>
      <w:pPr>
        <w:spacing w:after="0" w:line="130" w:lineRule="exact"/>
        <w:rPr>
          <w:rFonts w:ascii="Arial" w:cs="Arial" w:eastAsia="Arial" w:hAnsi="Arial"/>
          <w:sz w:val="22"/>
          <w:szCs w:val="22"/>
          <w:color w:val="auto"/>
        </w:rPr>
      </w:pPr>
    </w:p>
    <w:p>
      <w:pPr>
        <w:ind w:left="660" w:right="58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Internal controls over financial reporting and other financial, operational and compliance policies and practices that are intended to prevent manipulation of performance;</w:t>
      </w:r>
    </w:p>
    <w:p>
      <w:pPr>
        <w:spacing w:after="0" w:line="132" w:lineRule="exact"/>
        <w:rPr>
          <w:rFonts w:ascii="Arial" w:cs="Arial" w:eastAsia="Arial" w:hAnsi="Arial"/>
          <w:sz w:val="22"/>
          <w:szCs w:val="22"/>
          <w:color w:val="auto"/>
        </w:rPr>
      </w:pPr>
    </w:p>
    <w:p>
      <w:pPr>
        <w:ind w:left="660" w:right="60" w:hanging="328"/>
        <w:spacing w:after="0" w:line="234"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Maintain key risk mitigating policies, including a clawback policy to recover incentives for financial restatements due to misconduct or fraud, and stock ownership guidelines that require officers and directors to own a significant amount of Company stock;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Policies related to the promotion of diversity, equity and inclusion in our workforce.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Social and Governance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Core Principles</w:t>
      </w:r>
    </w:p>
    <w:p>
      <w:pPr>
        <w:spacing w:after="0" w:line="119" w:lineRule="exact"/>
        <w:rPr>
          <w:sz w:val="20"/>
          <w:szCs w:val="20"/>
          <w:color w:val="auto"/>
        </w:rPr>
      </w:pPr>
    </w:p>
    <w:p>
      <w:pPr>
        <w:jc w:val="both"/>
        <w:ind w:right="200" w:firstLine="486"/>
        <w:spacing w:after="0" w:line="266" w:lineRule="auto"/>
        <w:rPr>
          <w:sz w:val="20"/>
          <w:szCs w:val="20"/>
          <w:color w:val="auto"/>
        </w:rPr>
      </w:pPr>
      <w:r>
        <w:rPr>
          <w:rFonts w:ascii="Times New Roman" w:cs="Times New Roman" w:eastAsia="Times New Roman" w:hAnsi="Times New Roman"/>
          <w:sz w:val="18"/>
          <w:szCs w:val="18"/>
          <w:color w:val="auto"/>
        </w:rPr>
        <w:t xml:space="preserve">Since inception, we have deliberately tried to create a corporate culture focused on core values. In pursuit of that goal, we have found meaningful inspiration in Coach John Wooden’s, </w:t>
      </w:r>
      <w:r>
        <w:rPr>
          <w:rFonts w:ascii="Times New Roman" w:cs="Times New Roman" w:eastAsia="Times New Roman" w:hAnsi="Times New Roman"/>
          <w:sz w:val="18"/>
          <w:szCs w:val="18"/>
          <w:i w:val="1"/>
          <w:iCs w:val="1"/>
          <w:color w:val="auto"/>
        </w:rPr>
        <w:t>Pyramid of Success</w:t>
      </w:r>
      <w:r>
        <w:rPr>
          <w:rFonts w:ascii="Times New Roman" w:cs="Times New Roman" w:eastAsia="Times New Roman" w:hAnsi="Times New Roman"/>
          <w:sz w:val="18"/>
          <w:szCs w:val="18"/>
          <w:color w:val="auto"/>
        </w:rPr>
        <w:t>™ which helps us to reach for and maintain a culture of teamwork and integrity that always puts our clients’ interests ahead of our own.</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553" w:right="339" w:bottom="1440" w:gutter="0" w:footer="0" w:header="0"/>
        </w:sectPr>
      </w:pPr>
    </w:p>
    <w:bookmarkStart w:id="14" w:name="page15"/>
    <w:bookmarkEnd w:id="14"/>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At Westwood, impacted by cultural shifts affecting the industry as well as by Covid, we have reflected on and further refined the criteria that we believe will keep us relevant. Our ESG focus is guided by the following six pillars:</w:t>
      </w:r>
    </w:p>
    <w:p>
      <w:pPr>
        <w:spacing w:after="0" w:line="54"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impact;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Diversity, equity and inclusion;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investing;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and data protection;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Governance.</w:t>
      </w:r>
    </w:p>
    <w:p>
      <w:pPr>
        <w:spacing w:after="0" w:line="117" w:lineRule="exact"/>
        <w:rPr>
          <w:sz w:val="20"/>
          <w:szCs w:val="20"/>
          <w:color w:val="auto"/>
        </w:rPr>
      </w:pPr>
    </w:p>
    <w:p>
      <w:pPr>
        <w:jc w:val="both"/>
        <w:ind w:right="340" w:firstLine="486"/>
        <w:spacing w:after="0" w:line="266" w:lineRule="auto"/>
        <w:rPr>
          <w:sz w:val="20"/>
          <w:szCs w:val="20"/>
          <w:color w:val="auto"/>
        </w:rPr>
      </w:pPr>
      <w:r>
        <w:rPr>
          <w:rFonts w:ascii="Times New Roman" w:cs="Times New Roman" w:eastAsia="Times New Roman" w:hAnsi="Times New Roman"/>
          <w:sz w:val="18"/>
          <w:szCs w:val="18"/>
          <w:color w:val="auto"/>
        </w:rPr>
        <w:t>We consider ESG issues not only in our investment process but also in our daily business lives because it makes good business sense to do so. It enables us to create an environment that values true diversity, inclusiveness and transparency and ultimately it supports employee growth over the long term.</w:t>
      </w:r>
    </w:p>
    <w:p>
      <w:pPr>
        <w:spacing w:after="0" w:line="68"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As an active asset manager, we take a fundamental, financial materiality-based approach to identifying high-quality companies and strong businesses around the world. Our responsible investment commitment is linked to our investment process across our broad range of high-conviction equity and outcome-oriented solutions. We integrate ESG into our proprietary investment process and believe material ESG-related issues are important in conducting bottom-up, fundamental analysis when evaluating the merits of a company’s strategy, downside risk and valuation. Based on our research, we find sustainability plays a critical role in company selection and it has always been an input to our analytical process. As ESG evaluation techniques evolve, we will continue to adapt our investment approach to stay true to our fiduciary responsibilities.</w:t>
      </w:r>
    </w:p>
    <w:p>
      <w:pPr>
        <w:spacing w:after="0" w:line="7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Being an active manager describes more than our approach to investing. It also sums up how we run our business as a publicly traded company. Our focus on transparency, corporate governance, life principles, ethical conduct and giving back to our communities is central to our values. Diversity is also an important part of our culture: approximately 43% of our employees are women, including 33% at or above the Vice President level and about 25% of our employees self-identify as members of minority communities.</w:t>
      </w:r>
    </w:p>
    <w:p>
      <w:pPr>
        <w:spacing w:after="0" w:line="72"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Westwood is a signatory of the United Nations Principles for Responsible Investment ("UNPRI") and is committed to adopting and implementing responsible investment principles in a manner consistent with our fiduciary duties. We support the UNPRI and recognize the importance of considering ESG issues in our overall investment process.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11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Westwood is committed to the successful integration and promotion of ESG at both corporate and investment levels. We have established two governing structures, a Responsible Investment Committee and a Corporate Responsibility Committee, to ensure we have the strategic influence and leadership in place to create a clear corporate sustainability strategy across our business. The separation of responsibilities among these two structures was designed to ensure accountability across our firm.</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Responsible Investment Committee directs the maintenance, development and implementation of investment practices to support our ESG policy. The Corporate Responsibility Committee oversees and implements our corporate sustainability strategy and ESG policies, engaging leadership across corporate functions to provide oversight and strategic guidance. Westwood has embraced Diversity, Equity and Inclusion as an essential part of our history, culture and identity. We support opportunity for individuals from all backgrounds and are committed to fostering an environment that values unique ideas, perspectives and experiences. In such an environment, we want all of our employees to feel valued, included and empowered to do their best work and deliver the best possible service to our clients.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Using available data on Diversity, Equity &amp; Inclusion best practices, the Committee’s efforts focus on the following goals:</w:t>
      </w:r>
    </w:p>
    <w:p>
      <w:pPr>
        <w:spacing w:after="0" w:line="117"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Partnering with managers on recruiting and managing a diverse workforce.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Creating an inclusive work environment that ensures equal opportunity for professional growth and advancement.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cultural competence and responsiveness to maximize our effectiveness in interpersonal interactions to best meet client needs.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Integration</w:t>
      </w:r>
    </w:p>
    <w:p>
      <w:pPr>
        <w:spacing w:after="0" w:line="119"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Across all our strategies, our ESG analysis focuses on material factors. We acknowledge that fundamental ESG analysis is highly nuanced by security (sector, size, geography) and investment strategy (holding period, position size, share rights). The specifics of integration and execution are at the discretion of the investment teams.</w:t>
      </w:r>
    </w:p>
    <w:p>
      <w:pPr>
        <w:spacing w:after="0" w:line="68"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ESG analysis is performed by our industry analysts during the first step of our fundamental investment process in which analysts conduct deep, forward-looking research. As part of this process, our analysts meet with management and investor relations at target companies to understand their business strategy and financial strength. When ESG issues are of specific concern, our team identifies the target company’s plans to address them and establishes a “tracking” perspective to monitor their progress. Analysts have access to multiple third-party ESG metric providers and often generate their own inputs which are integrated into a proprietary financial statement projection as part of our investment recommendation.</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553"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color w:val="auto"/>
        </w:rPr>
        <w:t>Proxy Voting</w:t>
      </w:r>
    </w:p>
    <w:p>
      <w:pPr>
        <w:spacing w:after="0" w:line="11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Westwood treats proxy voting rights as valuable portfolio assets. Our overarching principle is to exercise voting responsibilities solely in the best interests of our clients. We view proxy voting as a way to address corporate governance issues and to encourage corporate actions that enhance stockholder value. Westwood uses guidelines from a third-party proxy research service, Glass-Lewis, that we believe create value for our clients. The Investment Operations Team oversees the implementation of our proxy voting policy. Our Corporate Responsibility Committee, in collaboration with our investment team’s bi-monthly review of ballots, confirms that Westwood’s proxy voting ESG guidelines generally match the Glass-Lewis policy, which is to vote in favor when a clear link exists between the proposal and value enhancement or risk mitigation to stockholders. Our goal is to vote all proxies and, although we generally agree with the recommendations of our proxy research service, we will vote against Glass-Lewis recommendations when we believe it to be in our clients’ best interests. An annual summary of voting is sent to each client for whom proxies are voted.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Impact and Corporate Giving</w:t>
      </w:r>
    </w:p>
    <w:p>
      <w:pPr>
        <w:spacing w:after="0" w:line="119" w:lineRule="exact"/>
        <w:rPr>
          <w:sz w:val="20"/>
          <w:szCs w:val="20"/>
          <w:color w:val="auto"/>
        </w:rPr>
      </w:pPr>
    </w:p>
    <w:p>
      <w:pPr>
        <w:jc w:val="both"/>
        <w:ind w:right="260" w:firstLine="486"/>
        <w:spacing w:after="0" w:line="261" w:lineRule="auto"/>
        <w:rPr>
          <w:sz w:val="20"/>
          <w:szCs w:val="20"/>
          <w:color w:val="auto"/>
        </w:rPr>
      </w:pPr>
      <w:r>
        <w:rPr>
          <w:rFonts w:ascii="Times New Roman" w:cs="Times New Roman" w:eastAsia="Times New Roman" w:hAnsi="Times New Roman"/>
          <w:sz w:val="18"/>
          <w:szCs w:val="18"/>
          <w:color w:val="auto"/>
        </w:rPr>
        <w:t>Community involvement is a cornerstone of our culture, which drives employee engagement and makes employees proud to work at Westwood. Every year we donate to local and national nonprofits and are pleased to support clients and employees in their volunteer efforts. Westwood employees participate in various community volunteer activities throughout the year, such as serving food to the homeless and at-risk individuals at The Stewpot or building homes with Habitat for Humanity.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w:t>
      </w:r>
    </w:p>
    <w:p>
      <w:pPr>
        <w:spacing w:after="0" w:line="11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At Westwood, the ways in which we care about our communities and the world around us include our initiative to calculate our carbon footprint and buy offsetting carbon credits. In addition to a 6% carbon footprint reduction from air travel in 2022 vs. 2021, despite a pickup in business travel, Westwood purchased carbon credits to offset the remaining annual carbon footprint generated by air travel. Our Green Committee establishes initiatives to support this important work.</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Stockholder Recommendations for Director Candidates</w:t>
      </w:r>
    </w:p>
    <w:p>
      <w:pPr>
        <w:spacing w:after="0" w:line="119" w:lineRule="exact"/>
        <w:rPr>
          <w:sz w:val="20"/>
          <w:szCs w:val="20"/>
          <w:color w:val="auto"/>
        </w:rPr>
      </w:pPr>
    </w:p>
    <w:p>
      <w:pPr>
        <w:ind w:right="20" w:firstLine="405"/>
        <w:spacing w:after="0" w:line="253" w:lineRule="auto"/>
        <w:rPr>
          <w:sz w:val="20"/>
          <w:szCs w:val="20"/>
          <w:color w:val="auto"/>
        </w:rPr>
      </w:pPr>
      <w:r>
        <w:rPr>
          <w:rFonts w:ascii="Times New Roman" w:cs="Times New Roman" w:eastAsia="Times New Roman" w:hAnsi="Times New Roman"/>
          <w:sz w:val="18"/>
          <w:szCs w:val="18"/>
          <w:color w:val="auto"/>
        </w:rPr>
        <w:t>The Board of Directors has delegated specific responsibilities to the Governance/Nominating Committee relating to selection of directors to serve on the Board. The Governance/Nominating Committee is responsible for identifying potential candidates for Board membership and for recommending a slate of director candidates to stand for election at the annual meeting of our stockholders. The Governance/Nominating Committee seeks to identify director candidates who (i) have significant business experience that is relevant and beneficial to the Board and Westwood, (ii) are willing and able to make a sufficient time commitment to the affairs of Westwood to effectively perform the duties of a director, including regular attendance at Board and committee meetings, (iii) are committed to the long-term growth and profitability of Westwood, (iv) are individuals of character and integrity, (v) are individuals with inquiring minds willing to challenge and stimulate management and (vi) represent the interests of Westwood as a whole and not just the interests of a particular stockholder or group. The Governance/Nominating Committee does not have a specific policy considering diversity in identifying director candidates, but use of the criteria listed above has led to a diverse board including 33% female and 16% minority directors. The Governance/Nominating Committee believes these criteria are the key factors in identifying qualified director candidates.</w:t>
      </w:r>
    </w:p>
    <w:p>
      <w:pPr>
        <w:spacing w:after="0" w:line="86"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The Governance/Nominating Committee has a policy for considering new director candidates recommended by our stockholders if such recommendations are made in compliance with applicable laws, rules and regulations, our Bylaws, and procedures established by the Committee. Director candidates recommended by stockholders are evaluated by the Governance/Nominating Committee using the same criteria described in the previous paragraph.</w:t>
      </w:r>
    </w:p>
    <w:p>
      <w:pPr>
        <w:spacing w:after="0" w:line="72"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Under our Bylaws, stockholders can nominate persons for election to our Board of Directors. Any director nomination must comply with the requirements set forth in our Bylaws and must be received by our Corporate Secretary at our principal executive offices not later than the close of business on January 26, 2024 and not earlier than the close of business on December 27, 2023. In the event that the date of the 2024 annual meeting of stockholders is more than 30 days before or more than 60 days after the one-year anniversary of the 2023 Annual Meeting of Stockholders, notice of such stockholder proposal must be received no earlier than the close of business on the 120th day before 2024 annual meeting of stockholders and no later than the close of business on the later of the two following dates: the 90th day prior to 2024 annual meeting of stockholders, or the 10th day following the day on which public announcement of the date our 2024 annual meeting of stockholders is first made.</w:t>
      </w:r>
    </w:p>
    <w:p>
      <w:pPr>
        <w:spacing w:after="0" w:line="81"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For the 2023 Annual Meeting, our Governance/Nominating Committee has not received a candidate recommendation or nomination from any stockholder (or group of stockholders), including any stockholder (or group of stockholders) that beneficially owns more than five percent of our common stock.</w:t>
      </w:r>
    </w:p>
    <w:p>
      <w:pPr>
        <w:spacing w:after="0" w:line="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u w:val="single" w:color="auto"/>
          <w:color w:val="auto"/>
        </w:rPr>
        <w:t>Communications with the Board</w:t>
      </w:r>
    </w:p>
    <w:p>
      <w:pPr>
        <w:spacing w:after="0" w:line="119"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Stockholders or other interested parties may communicate with the Board of Directors or particular Board members (including our Chairman or non-management directors as a group) by mailing a written communication to our Corporate Compliance Officer at 200 Crescent Court, Suite 1200, Dallas, Texas 75201, by email to legal@westwoodgroup.com or by telephone to 214-756-6900. All communications are received and processed by the Corporate Compliance Officer before being referred to the appropriate Board member(s). Complaints relating to our accounting, internal controls or auditing matters, and concerns regarding questionable accounting or auditing matters, are referred to the Chairman of the Audit Committee. Other communications intended for the Board of Directors at large are referred to our Chairman, while communications intended for</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20"/>
          </w:cols>
          <w:pgMar w:left="320" w:top="551" w:right="359" w:bottom="1440" w:gutter="0" w:footer="0" w:header="0"/>
        </w:sectPr>
      </w:pPr>
    </w:p>
    <w:bookmarkStart w:id="16" w:name="page17"/>
    <w:bookmarkEnd w:id="16"/>
    <w:p>
      <w:pPr>
        <w:ind w:right="200"/>
        <w:spacing w:after="0" w:line="261" w:lineRule="auto"/>
        <w:rPr>
          <w:sz w:val="20"/>
          <w:szCs w:val="20"/>
          <w:color w:val="auto"/>
        </w:rPr>
      </w:pPr>
      <w:r>
        <w:rPr>
          <w:rFonts w:ascii="Times New Roman" w:cs="Times New Roman" w:eastAsia="Times New Roman" w:hAnsi="Times New Roman"/>
          <w:sz w:val="18"/>
          <w:szCs w:val="18"/>
          <w:color w:val="auto"/>
        </w:rPr>
        <w:t>specific Board members are referred to those Board members. Advertisements, solicitations for periodicals or other subscriptions, and similar communications are not forwarded to Board members. In the event that a complaint or concern appears to involve the Corporate Compliance Officer, the stockholder or other interested party is encouraged to contact directly the Chairman of the Audit Committee, Ellen H. Masterson at emasterson@westwoodgroup.com.</w:t>
      </w:r>
    </w:p>
    <w:p>
      <w:pPr>
        <w:spacing w:after="0" w:line="72"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Stockholders may also communicate with Board members at the annual meetings of stockholders, as it is our policy that Board members should attend such meetings and make themselves available to address any matters properly brought before the meetings. Instructions for methods to communicate with Board members at any virtual annual meeting of stockholders will be explained at the outset of the meeting. All of our Board members attended the 2022 annual meeting of stockholders.</w:t>
      </w:r>
    </w:p>
    <w:p>
      <w:pPr>
        <w:spacing w:after="0" w:line="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i w:val="1"/>
          <w:iCs w:val="1"/>
          <w:u w:val="single" w:color="auto"/>
          <w:color w:val="auto"/>
        </w:rPr>
        <w:t>Code of Business Conduct</w:t>
      </w:r>
    </w:p>
    <w:p>
      <w:pPr>
        <w:spacing w:after="0" w:line="119"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 xml:space="preserve">All of our employees, including our principal executive officer, principal financial officer and principal accounting officer, and all of our directors, are required by our Code of Business Conduct to conduct business in the highest legal and ethical manner. The full text of the Code of Business Conduct is available on our website at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In addition, a copy of the Code of Business Conduct is available upon written request to our Corporate Secretary at our principal executive office address. We intend to post amendments to or waivers from the Code of Business Conduct as required by applicable rules on our website.</w:t>
      </w:r>
    </w:p>
    <w:p>
      <w:pPr>
        <w:spacing w:after="0" w:line="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Our employees are required to report any conduct that they believe could be construed as a fraudulent or illegal act or otherwise be in violation of the Code of Business Conduct. The Audit Committee has established procedures to receive, retain and address complaints regarding accounting, internal accounting controls or auditing matters and to allow for the confidential and anonymous submission by employees of related concerns.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For 2022, we paid each non-employee member of our Board of Directors a $62,000 annual retainer. The Chairman of the Board received an additional $20,000 annual retainer, the committee chairs for the Audit and Compensation and Human Capital Committees each received an additional $15,000 annual retainer and the committee chair for the Governance/Nominating Committee received an additional $5,000 annual retainer. There are no specific fees for attendance at Board or committee meetings. Additionally, upon election or re-election as a member of our Board of Directors, each non-employee director is awarded restricted shares of our common stock, which generally vest 12 months from the date of grant. Each restricted share award is made in a number of shares equal in value to $95,000 on the date of the award. Stock awards include a $90,000 award for each non-employee director and a $5,000 award for each non-employee director serving on the separate Board of Directors for Westwood Trust.</w:t>
      </w:r>
    </w:p>
    <w:p>
      <w:pPr>
        <w:spacing w:after="0" w:line="81" w:lineRule="exact"/>
        <w:rPr>
          <w:sz w:val="20"/>
          <w:szCs w:val="20"/>
          <w:color w:val="auto"/>
        </w:rPr>
      </w:pPr>
    </w:p>
    <w:p>
      <w:pPr>
        <w:ind w:right="60" w:firstLine="405"/>
        <w:spacing w:after="0" w:line="254" w:lineRule="auto"/>
        <w:rPr>
          <w:sz w:val="20"/>
          <w:szCs w:val="20"/>
          <w:color w:val="auto"/>
        </w:rPr>
      </w:pPr>
      <w:r>
        <w:rPr>
          <w:rFonts w:ascii="Times New Roman" w:cs="Times New Roman" w:eastAsia="Times New Roman" w:hAnsi="Times New Roman"/>
          <w:sz w:val="18"/>
          <w:szCs w:val="18"/>
          <w:color w:val="auto"/>
        </w:rPr>
        <w:t>The Board has established a policy that non-employee directors should own a minimum number of shares of our common stock equal to five times the dollar amount of their annual retainer within five years of their initial election or the establishment of this policy, whichever is later. In the event a decline in the price of the Company's common stock causes a non-employee director's holdings to fall below the applicable threshold, the non-employee director will not be required to purchase additional shares to meet the threshold but is required to hold 50% of net shares acquired through vesting of equity-based compensation programs until holdings above the threshold have again been achieved. Compliance with these stock ownership guidelines is evaluated periodically as determined by our Board. Given the decline in the price of the Company's stock over the course of recent years, the value of shares held by certain directors fell below the minimum holding requirements. All such directors are in compliance with the policy by holding the required net vested shares until such time as the minimum is achieved.</w:t>
      </w:r>
    </w:p>
    <w:p>
      <w:pPr>
        <w:spacing w:after="0" w:line="8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Compensation and Human Capital Committee reviews our compensation arrangements for directors from time to time. Brian O. Casey, our Chief Executive Officer, is not included in this table as he is a Company employee and receives no compensation for his service as director. See "Executive Compensation" for information concerning Mr. Casey's compensation. The Company's executive officers do not make recommendations regarding the non-employee directors' compensation.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Director Summary Compensation Table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or Paid in</w:t>
            </w: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5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420" w:type="dxa"/>
            <w:vAlign w:val="bottom"/>
            <w:vMerge w:val="restart"/>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5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w w:val="97"/>
              </w:rPr>
              <w:t>Cash</w:t>
            </w:r>
          </w:p>
        </w:tc>
        <w:tc>
          <w:tcPr>
            <w:tcW w:w="154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54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80" w:type="dxa"/>
            <w:vAlign w:val="bottom"/>
            <w:gridSpan w:val="2"/>
            <w:vMerge w:val="continue"/>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(1)</w:t>
            </w:r>
          </w:p>
        </w:tc>
        <w:tc>
          <w:tcPr>
            <w:tcW w:w="120" w:type="dxa"/>
            <w:vAlign w:val="bottom"/>
          </w:tcPr>
          <w:p>
            <w:pPr>
              <w:spacing w:after="0"/>
              <w:rPr>
                <w:sz w:val="18"/>
                <w:szCs w:val="18"/>
                <w:color w:val="auto"/>
              </w:rPr>
            </w:pPr>
          </w:p>
        </w:tc>
        <w:tc>
          <w:tcPr>
            <w:tcW w:w="142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 (2)</w:t>
            </w:r>
          </w:p>
        </w:tc>
        <w:tc>
          <w:tcPr>
            <w:tcW w:w="120" w:type="dxa"/>
            <w:vAlign w:val="bottom"/>
          </w:tcPr>
          <w:p>
            <w:pPr>
              <w:spacing w:after="0"/>
              <w:rPr>
                <w:sz w:val="18"/>
                <w:szCs w:val="18"/>
                <w:color w:val="auto"/>
              </w:rPr>
            </w:pPr>
          </w:p>
        </w:tc>
        <w:tc>
          <w:tcPr>
            <w:tcW w:w="1420" w:type="dxa"/>
            <w:vAlign w:val="bottom"/>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Susan M. Byrne</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102,048</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259,048</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Richard M. Frank</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85,750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185,750</w:t>
            </w:r>
          </w:p>
        </w:tc>
        <w:tc>
          <w:tcPr>
            <w:tcW w:w="0" w:type="dxa"/>
            <w:vAlign w:val="bottom"/>
          </w:tcPr>
          <w:p>
            <w:pPr>
              <w:spacing w:after="0"/>
              <w:rPr>
                <w:sz w:val="1"/>
                <w:szCs w:val="1"/>
                <w:color w:val="auto"/>
              </w:rPr>
            </w:pPr>
          </w:p>
        </w:tc>
      </w:tr>
      <w:tr>
        <w:trPr>
          <w:trHeight w:val="22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Ellen H. Masterson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177,000</w:t>
            </w:r>
          </w:p>
        </w:tc>
        <w:tc>
          <w:tcPr>
            <w:tcW w:w="0" w:type="dxa"/>
            <w:vAlign w:val="bottom"/>
          </w:tcPr>
          <w:p>
            <w:pPr>
              <w:spacing w:after="0"/>
              <w:rPr>
                <w:sz w:val="1"/>
                <w:szCs w:val="1"/>
                <w:color w:val="auto"/>
              </w:rPr>
            </w:pPr>
          </w:p>
        </w:tc>
      </w:tr>
      <w:tr>
        <w:trPr>
          <w:trHeight w:val="23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Geoffrey R. Norman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173,250</w:t>
            </w:r>
          </w:p>
        </w:tc>
        <w:tc>
          <w:tcPr>
            <w:tcW w:w="0" w:type="dxa"/>
            <w:vAlign w:val="bottom"/>
          </w:tcPr>
          <w:p>
            <w:pPr>
              <w:spacing w:after="0"/>
              <w:rPr>
                <w:sz w:val="1"/>
                <w:szCs w:val="1"/>
                <w:color w:val="auto"/>
              </w:rPr>
            </w:pPr>
          </w:p>
        </w:tc>
      </w:tr>
      <w:tr>
        <w:trPr>
          <w:trHeight w:val="23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Randy A. Bowman</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65,750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165,750</w:t>
            </w:r>
          </w:p>
        </w:tc>
        <w:tc>
          <w:tcPr>
            <w:tcW w:w="0" w:type="dxa"/>
            <w:vAlign w:val="bottom"/>
          </w:tcPr>
          <w:p>
            <w:pPr>
              <w:spacing w:after="0"/>
              <w:rPr>
                <w:sz w:val="1"/>
                <w:szCs w:val="1"/>
                <w:color w:val="auto"/>
              </w:rPr>
            </w:pPr>
          </w:p>
        </w:tc>
      </w:tr>
      <w:tr>
        <w:trPr>
          <w:trHeight w:val="306"/>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Raymond E. Wooldridge</w:t>
            </w:r>
            <w:r>
              <w:rPr>
                <w:rFonts w:ascii="Times New Roman" w:cs="Times New Roman" w:eastAsia="Times New Roman" w:hAnsi="Times New Roman"/>
                <w:sz w:val="23"/>
                <w:szCs w:val="23"/>
                <w:color w:val="auto"/>
                <w:vertAlign w:val="superscript"/>
              </w:rPr>
              <w:t>(3)</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34,000</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35,250</w:t>
            </w:r>
          </w:p>
        </w:tc>
        <w:tc>
          <w:tcPr>
            <w:tcW w:w="0" w:type="dxa"/>
            <w:vAlign w:val="bottom"/>
          </w:tcPr>
          <w:p>
            <w:pPr>
              <w:spacing w:after="0"/>
              <w:rPr>
                <w:sz w:val="1"/>
                <w:szCs w:val="1"/>
                <w:color w:val="auto"/>
              </w:rPr>
            </w:pPr>
          </w:p>
        </w:tc>
      </w:tr>
    </w:tbl>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8"/>
          <w:szCs w:val="8"/>
          <w:color w:val="auto"/>
        </w:rPr>
        <w:t>_______________________________</w:t>
      </w:r>
    </w:p>
    <w:p>
      <w:pPr>
        <w:spacing w:after="0" w:line="8" w:lineRule="exact"/>
        <w:rPr>
          <w:sz w:val="20"/>
          <w:szCs w:val="20"/>
          <w:color w:val="auto"/>
        </w:rPr>
      </w:pPr>
    </w:p>
    <w:p>
      <w:pPr>
        <w:ind w:left="340" w:hanging="332"/>
        <w:spacing w:after="0" w:line="251" w:lineRule="auto"/>
        <w:tabs>
          <w:tab w:leader="none" w:pos="32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Susan M. Byrne earned $97,048 as a consultant for the Company for 2022. Each non-employee director also earns a $1,000 annual retainer and $1,000 for each regularly scheduled quarterly meeting for serving on the separate Board of Directors of Westwood Trust.</w:t>
      </w:r>
    </w:p>
    <w:p>
      <w:pPr>
        <w:ind w:left="340" w:right="140" w:hanging="332"/>
        <w:spacing w:after="0" w:line="278" w:lineRule="auto"/>
        <w:tabs>
          <w:tab w:leader="none" w:pos="328"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include a $90,000 award for each non-employee director and a $5,000 award for each non-employee director serving on the separate Board of Directors for Westwood Trust. Stock awards reflect the grant date fair value of the time-based restricted stock granted to directors in 2022 in</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20"/>
          </w:cols>
          <w:pgMar w:left="320" w:top="553" w:right="359" w:bottom="1440" w:gutter="0" w:footer="0" w:header="0"/>
        </w:sectPr>
      </w:pPr>
    </w:p>
    <w:bookmarkStart w:id="17" w:name="page18"/>
    <w:bookmarkEnd w:id="17"/>
    <w:p>
      <w:pPr>
        <w:ind w:left="340" w:right="160"/>
        <w:spacing w:after="0" w:line="262" w:lineRule="auto"/>
        <w:rPr>
          <w:sz w:val="20"/>
          <w:szCs w:val="20"/>
          <w:color w:val="auto"/>
        </w:rPr>
      </w:pPr>
      <w:r>
        <w:rPr>
          <w:rFonts w:ascii="Times New Roman" w:cs="Times New Roman" w:eastAsia="Times New Roman" w:hAnsi="Times New Roman"/>
          <w:sz w:val="14"/>
          <w:szCs w:val="14"/>
          <w:color w:val="auto"/>
        </w:rPr>
        <w:t>accordance with Accounting Standards Codification Topic 718 ("ASC 718"), "Stock Compensation." The assumptions used in the valuation of the restricted stock awards are discussed in Note 10 "Employee Benefits" of our audited financial statements, which are included in our 2022 Annual Report on Form 10-K. All restricted stock grants were made under the Eighth Amended and Restated Westwood Holdings Group, Inc. Stock Incentive Plan, as amended, and are subject to a one-year vesting period as described above.</w:t>
      </w:r>
    </w:p>
    <w:p>
      <w:pPr>
        <w:spacing w:after="0" w:line="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(3)</w:t>
        <w:tab/>
        <w:t>Raymond E. Wooldridge did not stand for re-election at the 2022 Annual Meeting of Stockholders held in April 2022.</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December 31, 2022, our directors, other than Brian O. Casey, held the following unvested restricted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37"/>
        </w:trPr>
        <w:tc>
          <w:tcPr>
            <w:tcW w:w="9780" w:type="dxa"/>
            <w:vAlign w:val="bottom"/>
            <w:gridSpan w:val="2"/>
            <w:vMerge w:val="restart"/>
          </w:tcPr>
          <w:p>
            <w:pPr>
              <w:ind w:left="46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0" w:type="dxa"/>
            <w:vAlign w:val="bottom"/>
          </w:tcPr>
          <w:p>
            <w:pPr>
              <w:spacing w:after="0"/>
              <w:rPr>
                <w:sz w:val="1"/>
                <w:szCs w:val="1"/>
                <w:color w:val="auto"/>
              </w:rPr>
            </w:pPr>
          </w:p>
        </w:tc>
      </w:tr>
      <w:tr>
        <w:trPr>
          <w:trHeight w:val="190"/>
        </w:trPr>
        <w:tc>
          <w:tcPr>
            <w:tcW w:w="9780" w:type="dxa"/>
            <w:vAlign w:val="bottom"/>
            <w:gridSpan w:val="2"/>
            <w:vMerge w:val="continue"/>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3"/>
        </w:trPr>
        <w:tc>
          <w:tcPr>
            <w:tcW w:w="9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Susan M. Byrne</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29"/>
        </w:trPr>
        <w:tc>
          <w:tcPr>
            <w:tcW w:w="9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Richard M. Frank</w:t>
            </w:r>
            <w:r>
              <w:rPr>
                <w:rFonts w:ascii="Times New Roman" w:cs="Times New Roman" w:eastAsia="Times New Roman" w:hAnsi="Times New Roman"/>
                <w:sz w:val="23"/>
                <w:szCs w:val="23"/>
                <w:color w:val="auto"/>
                <w:vertAlign w:val="superscript"/>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Ellen H. Masterson</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30"/>
        </w:trPr>
        <w:tc>
          <w:tcPr>
            <w:tcW w:w="9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Geoffrey R. Norman</w:t>
            </w:r>
            <w:r>
              <w:rPr>
                <w:rFonts w:ascii="Times New Roman" w:cs="Times New Roman" w:eastAsia="Times New Roman" w:hAnsi="Times New Roman"/>
                <w:sz w:val="23"/>
                <w:szCs w:val="23"/>
                <w:color w:val="auto"/>
                <w:vertAlign w:val="superscript"/>
              </w:rPr>
              <w:t>(1)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r>
        <w:trPr>
          <w:trHeight w:val="229"/>
        </w:trPr>
        <w:tc>
          <w:tcPr>
            <w:tcW w:w="9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Randy A. Bowman</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_______________________________</w:t>
      </w:r>
    </w:p>
    <w:p>
      <w:pPr>
        <w:spacing w:after="0" w:line="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Issued on April 27, 2022 with a vesting date of April 27, 2023, subject to such director's continued service as a director through the vesting date.</w:t>
      </w:r>
    </w:p>
    <w:p>
      <w:pPr>
        <w:spacing w:after="0" w:line="200" w:lineRule="exact"/>
        <w:rPr>
          <w:sz w:val="20"/>
          <w:szCs w:val="20"/>
          <w:color w:val="auto"/>
        </w:rPr>
      </w:pPr>
    </w:p>
    <w:p>
      <w:pPr>
        <w:spacing w:after="0" w:line="393"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EXECUTIVE OFFICERS AND OTHER KEY EMPLOYEES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Biographical information regarding Westwood's executive officers and other key employees during 2022 is as follows: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Brian O. Casey, </w:t>
      </w:r>
      <w:r>
        <w:rPr>
          <w:rFonts w:ascii="Times New Roman" w:cs="Times New Roman" w:eastAsia="Times New Roman" w:hAnsi="Times New Roman"/>
          <w:sz w:val="18"/>
          <w:szCs w:val="18"/>
          <w:color w:val="auto"/>
        </w:rPr>
        <w:t>age 59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See biographical information in the "Proposal 1 – Election of Directors" section.</w:t>
      </w:r>
    </w:p>
    <w:p>
      <w:pPr>
        <w:spacing w:after="0" w:line="90"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Murray "Terry" Forbes III, </w:t>
      </w:r>
      <w:r>
        <w:rPr>
          <w:rFonts w:ascii="Times New Roman" w:cs="Times New Roman" w:eastAsia="Times New Roman" w:hAnsi="Times New Roman"/>
          <w:sz w:val="18"/>
          <w:szCs w:val="18"/>
          <w:color w:val="auto"/>
        </w:rPr>
        <w:t>age 45, has served as Senior Vice President, Chief Financial Officer and Treasurer since November 2018. Previously,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Vice President of Finance from 2014 to 2018. Prior to joining Westwood, Mr. Forbes served as Senior Director and Assistant Controller of CEC. CEC was an NYSE-listed company until 2014. From 2000 to 2012, he was with KPMG LLP, most recently as an audit senior manager. Mr. Forbes earned a B.B.A. in Accounting from the University of Richmond and he is a Certified Public Accountant (inactive).</w:t>
      </w:r>
    </w:p>
    <w:p>
      <w:pPr>
        <w:spacing w:after="0" w:line="83"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Fabian Gomez, </w:t>
      </w:r>
      <w:r>
        <w:rPr>
          <w:rFonts w:ascii="Times New Roman" w:cs="Times New Roman" w:eastAsia="Times New Roman" w:hAnsi="Times New Roman"/>
          <w:sz w:val="18"/>
          <w:szCs w:val="18"/>
          <w:color w:val="auto"/>
        </w:rPr>
        <w:t>age 57, has served as President of Westwood since May 2022. He previously served as Senior Vice President, Chief Operating Officer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2018 to May 2022. He served as Chief Information Officer from 2015 and as Director of Operations beginning in 2016. Before joining Westwood, Mr. Gomez worked at Invesco Ltd. as Global Head of Equity and Alternative Investment Applications responsible for strategic planning, oversight of all major project initiatives, and staff development at a global level. Mr. Gomez worked at McDonnell Investment Management for six years as a Managing Director and Chief Information Officer and also worked for Nuveen Investments, Morgan Stanley Investment Management and Van Kampen Funds. Mr. Gomez earned an MBA in Finance and International Management from Rice University Business School and a B.A. in Biology from The University of Texas at Austin.</w:t>
      </w:r>
    </w:p>
    <w:p>
      <w:pPr>
        <w:spacing w:after="0" w:line="75"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 Porter Montgomery, </w:t>
      </w:r>
      <w:r>
        <w:rPr>
          <w:rFonts w:ascii="Times New Roman" w:cs="Times New Roman" w:eastAsia="Times New Roman" w:hAnsi="Times New Roman"/>
          <w:sz w:val="18"/>
          <w:szCs w:val="18"/>
          <w:color w:val="auto"/>
        </w:rPr>
        <w:t>age 46, has served as Senior Vice President, Chief Operating Officer of Westwood since May 2022. Previously, he served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Wealth Management – Dallas from 2017 to May 2022. He held positions of increasing responsibility at Westwood Trust starting in 2010, when he joined the group as Vice President, Trust &amp; Investment until his promotion in 2016 to Senior Vice President, and later Chief Operating Officer of Westwood Trust responsible for day-to-day operations of the trust company. He initially joined Westwood in 2003 as an Associate, Finance &amp; Administration. Prior to Westwood, Mr. Montgomery served as Vice President of Trading at Ognisty Capital Management and also worked for SWS Securities. Mr. Montgomery earned his MBA from the University of Dallas and his B.S. in Business Administration from The University of Arkansas.</w:t>
      </w:r>
    </w:p>
    <w:p>
      <w:pPr>
        <w:spacing w:after="0" w:line="74"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Julie K. Gerron, </w:t>
      </w:r>
      <w:r>
        <w:rPr>
          <w:rFonts w:ascii="Times New Roman" w:cs="Times New Roman" w:eastAsia="Times New Roman" w:hAnsi="Times New Roman"/>
          <w:sz w:val="18"/>
          <w:szCs w:val="18"/>
          <w:color w:val="auto"/>
        </w:rPr>
        <w:t>age 55, has served as Senior Vice President, General Counsel of Westwood since 2013, Chief Compliance Officer since 2017,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Secretary since 2014. Previously, she served as Vice President, General Counsel from 2007 to 2013, as Vice President, Assistant General Counsel from 2005 to 2007, and as Vice President, Research Analyst from 2004 to 2005. Prior to Westwood, Ms. Gerron worked as a portfolio manager at Smith &amp; Summers LLC from 1998 to 2004. From 1992 to 1998, she worked for branches of the State of Oklahoma government, including Assistant Attorney General, Deputy General Counsel of the Insurance Department, and Special Counsel to the Executive Director of the House of Representatives. Ms. Gerron earned a J.D. from the University of Texas School of Law and a B.B.A. in Finance from the University of Texas – Austin. She is a member of the State Bars of Texas and Oklahoma and is a member of the Texas State Bar Association. Ms. Gerron achieved the designation of Chartered Financial Analyst in 2003 and is a member of the CFA Institute.</w:t>
      </w:r>
    </w:p>
    <w:p>
      <w:pPr>
        <w:spacing w:after="0" w:line="77" w:lineRule="exact"/>
        <w:rPr>
          <w:sz w:val="20"/>
          <w:szCs w:val="20"/>
          <w:color w:val="auto"/>
        </w:rPr>
      </w:pPr>
    </w:p>
    <w:p>
      <w:pPr>
        <w:ind w:right="1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Leah Bennett</w:t>
      </w:r>
      <w:r>
        <w:rPr>
          <w:rFonts w:ascii="Times New Roman" w:cs="Times New Roman" w:eastAsia="Times New Roman" w:hAnsi="Times New Roman"/>
          <w:sz w:val="18"/>
          <w:szCs w:val="18"/>
          <w:color w:val="auto"/>
        </w:rPr>
        <w:t>, age 54, has served as President, Westwood Wealth Management since May 2022. From 2018 to May 2022, she served as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Westwood Wealth Management – Houston, and from 2016 to 2018 as Vice President, Trust Officer. Prior to Westwood, Ms. Bennett was Co-Chief Investment Officer at South Texas Money Management, Managing Director and Chief Investment Officer at King Investment Advisors, Inc. and a Research Analyst for Capital Research &amp; Management. Ms. Bennet earned her B.S in Economics from Texas A&amp;M University.</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20"/>
          </w:cols>
          <w:pgMar w:left="320" w:top="441" w:right="359" w:bottom="1440" w:gutter="0" w:footer="0" w:header="0"/>
        </w:sectPr>
      </w:pPr>
    </w:p>
    <w:bookmarkStart w:id="18" w:name="page19"/>
    <w:bookmarkEnd w:id="18"/>
    <w:p>
      <w:pPr>
        <w:ind w:right="10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Adrian Helfert</w:t>
      </w:r>
      <w:r>
        <w:rPr>
          <w:rFonts w:ascii="Times New Roman" w:cs="Times New Roman" w:eastAsia="Times New Roman" w:hAnsi="Times New Roman"/>
          <w:sz w:val="18"/>
          <w:szCs w:val="18"/>
          <w:color w:val="auto"/>
        </w:rPr>
        <w:t>, age 50, has served as Senior Vice President, Chief Investment Officer of Multi-Asset Portfolios since March 2021. Previously, 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served as Director of Multi-Asset Portfolios since joining Westwood in January 2019. Prior to Westwood, Mr. Helfert worked as Managing Director and Head of Global Fixed Income, USA for Amundi Smith Breeden in London from, spending a total of 13 years with Amundi in multiple roles in various countries. From 2004 to 2006, he worked at Royal Bank of Scotland, and from 1998 to 2000, he was with the Asset Management Group at JPMorgan. Mr. Helfert earned his MBA from Duke University and his BA in physics from the University of Virginia, where he was awarded a fellowship for his work in Solid State Physics. He also served in the U.S. Navy/Marine Corps as a Combat Medic.</w:t>
      </w:r>
    </w:p>
    <w:p>
      <w:pPr>
        <w:spacing w:after="0" w:line="76"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Matthew R. Lockridge, age 43, has served as Senior Vice President, Head of U.S. Value Products since March 2022. Previously, he served as Senior Vice President, co-Director of Equity Portfolios and Senior Portfolio Manager from 2018 to March 2022, as Senior Vice President, Senior Portfolio and Analyst from 2015 to 2018, and as Vice President, Research Analyst from 2010 to 2015. Prior to Westwood, Mr. Lockridge worked as a Managing Director and Partner at Dearborn Partners, LLC, from 2004 to 2010. From 2001 to 2004, he worked as a Senior Consultant at Arthur Anderson, LLP and also Deloitte Consulting, LLP. Mr. Lockridge earned his MBA with a concentration in Finance and Accounting from the University of Chicago Booth School of Business and received a BBA in Finance from Southern Methodist University.</w:t>
      </w:r>
    </w:p>
    <w:p>
      <w:pPr>
        <w:spacing w:after="0" w:line="79" w:lineRule="exact"/>
        <w:rPr>
          <w:sz w:val="20"/>
          <w:szCs w:val="20"/>
          <w:color w:val="auto"/>
        </w:rPr>
      </w:pPr>
    </w:p>
    <w:p>
      <w:pPr>
        <w:jc w:val="both"/>
        <w:ind w:right="40" w:firstLine="405"/>
        <w:spacing w:after="0" w:line="261" w:lineRule="auto"/>
        <w:rPr>
          <w:sz w:val="20"/>
          <w:szCs w:val="20"/>
          <w:color w:val="auto"/>
        </w:rPr>
      </w:pPr>
      <w:r>
        <w:rPr>
          <w:rFonts w:ascii="Times New Roman" w:cs="Times New Roman" w:eastAsia="Times New Roman" w:hAnsi="Times New Roman"/>
          <w:sz w:val="18"/>
          <w:szCs w:val="18"/>
          <w:color w:val="auto"/>
        </w:rPr>
        <w:t>There are no family relationships among the directors, executive officers and other key employees of Westwood, except as described here and under "Certain Relationships and Related Party Transactions – Review and Approval of Related Party Transactions" John Porter Montgomery, the stepson of our Vice Chairman Ms. Byrne, was employed by Westwood Holdings Group, Inc., throughout 2022 and received total compensation of $509,967. He currently serves as Chief Operating Officer and is compensated in a manner consistent with our policies that apply to all employees.</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20"/>
          </w:cols>
          <w:pgMar w:left="320" w:top="551" w:right="35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 is a “smaller reporting company” under Item 10 of Regulation S-K promulgated under the Securities and Exchange Act of 1934 and the following compensation disclosure is intended to comply with the requirements applicable to smaller reporting companies. Although the rules allow the Company to provide less detail about its executive compensation program, the Compensation and Human Capital Committee is committed to providing the information necessary to help stockholders understand its executive compensation-related decisions. Accordingly, this section includes supplemental narratives that describe the 2022 executive compensation program for our named executive officers.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21" w:lineRule="exact"/>
        <w:rPr>
          <w:sz w:val="20"/>
          <w:szCs w:val="20"/>
          <w:color w:val="auto"/>
        </w:rPr>
      </w:pPr>
    </w:p>
    <w:p>
      <w:pPr>
        <w:ind w:right="560" w:firstLine="405"/>
        <w:spacing w:after="0" w:line="271" w:lineRule="auto"/>
        <w:rPr>
          <w:sz w:val="20"/>
          <w:szCs w:val="20"/>
          <w:color w:val="auto"/>
        </w:rPr>
      </w:pPr>
      <w:r>
        <w:rPr>
          <w:rFonts w:ascii="Times New Roman" w:cs="Times New Roman" w:eastAsia="Times New Roman" w:hAnsi="Times New Roman"/>
          <w:sz w:val="18"/>
          <w:szCs w:val="18"/>
          <w:color w:val="auto"/>
        </w:rPr>
        <w:t>This section provides information regarding our executive compensation program in 2022 for the following executive officers of the Company (collectively, the "named executive officers"):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8880" w:type="dxa"/>
            <w:vAlign w:val="bottom"/>
          </w:tcPr>
          <w:p>
            <w:pPr>
              <w:ind w:left="41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23"/>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Brian O. Casey</w:t>
            </w:r>
          </w:p>
        </w:tc>
        <w:tc>
          <w:tcPr>
            <w:tcW w:w="120" w:type="dxa"/>
            <w:vAlign w:val="bottom"/>
            <w:tcBorders>
              <w:top w:val="single" w:sz="8" w:color="CCEEFF"/>
            </w:tcBorders>
            <w:shd w:val="clear" w:color="auto" w:fill="CCEEFF"/>
          </w:tcPr>
          <w:p>
            <w:pPr>
              <w:spacing w:after="0"/>
              <w:rPr>
                <w:sz w:val="19"/>
                <w:szCs w:val="19"/>
                <w:color w:val="auto"/>
              </w:rPr>
            </w:pPr>
          </w:p>
        </w:tc>
        <w:tc>
          <w:tcPr>
            <w:tcW w:w="8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29"/>
        </w:trPr>
        <w:tc>
          <w:tcPr>
            <w:tcW w:w="2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Fabian Gomez</w:t>
            </w:r>
          </w:p>
        </w:tc>
        <w:tc>
          <w:tcPr>
            <w:tcW w:w="8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w:t>
            </w:r>
          </w:p>
        </w:tc>
      </w:tr>
      <w:tr>
        <w:trPr>
          <w:trHeight w:val="229"/>
        </w:trPr>
        <w:tc>
          <w:tcPr>
            <w:tcW w:w="2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Leah Bennett</w:t>
            </w:r>
          </w:p>
        </w:tc>
        <w:tc>
          <w:tcPr>
            <w:tcW w:w="8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President, Westwood Wealth Management</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2022 Performance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Highlights of our 2022 performance include:</w:t>
      </w:r>
    </w:p>
    <w:p>
      <w:pPr>
        <w:spacing w:after="0" w:line="117" w:lineRule="exact"/>
        <w:rPr>
          <w:sz w:val="20"/>
          <w:szCs w:val="20"/>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closed the acquisition of Salient Partners’ asset management business (Salient) in November 2022, brining differentiated investment strategies, expanded distribution, and highly accretive earnings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year-end, we increased our ownership of Broadmark Asset Management - Salient’s tactical asset affiliate - to approximately 80%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Driven by the Salient acquisition, assets under management and advisement increased 10%</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Numerous investment strategies beat their primary benchmarks and delivered strong, competitive performance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loss of $4.6 million was driven by depressed market conditions and one-time Salient acquisition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Headcount increased from 128 employees to 152 employees at year-end, reflecting the addition of Salient personnel as part of the acquisition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held $39.2 million in cash and short-term investments at year end and have no debt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out $5.6 million in dividends to shareowners during 2022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2022 Compensation Decisions for Named Executive Officers</w:t>
      </w:r>
    </w:p>
    <w:p>
      <w:pPr>
        <w:spacing w:after="0" w:line="121"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Executive compensation was determined based on the performance objectives developed at the beginning of the year listed below in the Summary Compensation section. Due to lower revenues, the overall bonus pool declined by approximately 25% and executive compensation decreased accordingly. The successful acquisition of Salient and Broadmark played a large role in determining compensation for Messrs. Casey and Gomez. Ms. Bennett’s compensation is determined based on the Wealth Management Revenue Share objectives listed below. While some objectives were not met, Ms. Bennett represents a strong asset for Wealth Management and, having been promoted to her new position as President of Wealth Management mid-year, she did not have a full year to implement her plans. Accordingly, the Company decided to award Ms. Bennett a combined incentivization and retention bonus.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Executive Compensation Program</w:t>
      </w:r>
    </w:p>
    <w:p>
      <w:pPr>
        <w:spacing w:after="0" w:line="121"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The intellectual capabilities of our employees are among our most important assets. Our financial results primarily depend on the level of assets we manage, which reflects our generating competitive long-term investment performance, building strong relationships with clients, investment consulting firms and other financial intermediaries, providing attentive client service, and developing new client relationships.</w:t>
      </w:r>
    </w:p>
    <w:p>
      <w:pPr>
        <w:spacing w:after="0" w:line="68" w:lineRule="exact"/>
        <w:rPr>
          <w:sz w:val="20"/>
          <w:szCs w:val="20"/>
          <w:color w:val="auto"/>
        </w:rPr>
      </w:pPr>
    </w:p>
    <w:p>
      <w:pPr>
        <w:ind w:right="140" w:firstLine="405"/>
        <w:spacing w:after="0" w:line="261" w:lineRule="auto"/>
        <w:rPr>
          <w:sz w:val="20"/>
          <w:szCs w:val="20"/>
          <w:color w:val="auto"/>
        </w:rPr>
      </w:pPr>
      <w:r>
        <w:rPr>
          <w:rFonts w:ascii="Times New Roman" w:cs="Times New Roman" w:eastAsia="Times New Roman" w:hAnsi="Times New Roman"/>
          <w:sz w:val="18"/>
          <w:szCs w:val="18"/>
          <w:color w:val="auto"/>
        </w:rPr>
        <w:t>We believe that the quality, expertise and commitment of our named executive officers are critical to delivering superior long-term results to our clients and shareholders and to achieving our overall business objectives. Our executive compensation program therefore aims to deliver competitive total direct compensation (i.e., base salary, annual cash incentive awards, and long-term equity awards) that attract, motivate and retain the talented executives who contribute to our success.</w:t>
      </w:r>
    </w:p>
    <w:p>
      <w:pPr>
        <w:spacing w:after="0" w:line="72" w:lineRule="exact"/>
        <w:rPr>
          <w:sz w:val="20"/>
          <w:szCs w:val="20"/>
          <w:color w:val="auto"/>
        </w:rPr>
      </w:pPr>
    </w:p>
    <w:p>
      <w:pPr>
        <w:jc w:val="both"/>
        <w:ind w:right="400" w:firstLine="405"/>
        <w:spacing w:after="0" w:line="266" w:lineRule="auto"/>
        <w:rPr>
          <w:sz w:val="20"/>
          <w:szCs w:val="20"/>
          <w:color w:val="auto"/>
        </w:rPr>
      </w:pPr>
      <w:r>
        <w:rPr>
          <w:rFonts w:ascii="Times New Roman" w:cs="Times New Roman" w:eastAsia="Times New Roman" w:hAnsi="Times New Roman"/>
          <w:sz w:val="18"/>
          <w:szCs w:val="18"/>
          <w:color w:val="auto"/>
        </w:rPr>
        <w:t>Our executive compensation and related governance policies and practices are designed to reward the named executive officers for achieving the strategic and operational goals we believe will lead to increases in stockholder returns, while discouraging unnecessary or excessive risk taking. They incorporate many best practices, including the following: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549" w:right="339" w:bottom="1440" w:gutter="0" w:footer="0" w:header="0"/>
        </w:sectPr>
      </w:pPr>
    </w:p>
    <w:bookmarkStart w:id="20" w:name="page21"/>
    <w:bookmarkEnd w:id="20"/>
    <w:tbl>
      <w:tblPr>
        <w:tblLayout w:type="fixed"/>
        <w:tblInd w:w="420" w:type="dxa"/>
        <w:tblCellMar>
          <w:top w:w="0" w:type="dxa"/>
          <w:left w:w="0" w:type="dxa"/>
          <w:bottom w:w="0" w:type="dxa"/>
          <w:right w:w="0" w:type="dxa"/>
        </w:tblCellMar>
      </w:tblPr>
      <w:tr>
        <w:trPr>
          <w:trHeight w:val="243"/>
        </w:trPr>
        <w:tc>
          <w:tcPr>
            <w:tcW w:w="5280" w:type="dxa"/>
            <w:vAlign w:val="bottom"/>
            <w:tcBorders>
              <w:top w:val="single" w:sz="8" w:color="auto"/>
              <w:bottom w:val="single" w:sz="8" w:color="auto"/>
            </w:tcBorders>
          </w:tcPr>
          <w:p>
            <w:pPr>
              <w:ind w:left="2180"/>
              <w:spacing w:after="0"/>
              <w:rPr>
                <w:sz w:val="20"/>
                <w:szCs w:val="20"/>
                <w:color w:val="auto"/>
              </w:rPr>
            </w:pPr>
            <w:r>
              <w:rPr>
                <w:rFonts w:ascii="Times New Roman" w:cs="Times New Roman" w:eastAsia="Times New Roman" w:hAnsi="Times New Roman"/>
                <w:sz w:val="18"/>
                <w:szCs w:val="18"/>
                <w:b w:val="1"/>
                <w:bCs w:val="1"/>
                <w:color w:val="auto"/>
              </w:rPr>
              <w:t>What We Do</w:t>
            </w:r>
          </w:p>
        </w:tc>
        <w:tc>
          <w:tcPr>
            <w:tcW w:w="5420" w:type="dxa"/>
            <w:vAlign w:val="bottom"/>
            <w:tcBorders>
              <w:top w:val="single" w:sz="8" w:color="auto"/>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What We Do Not Do</w:t>
            </w:r>
          </w:p>
        </w:tc>
      </w:tr>
      <w:tr>
        <w:trPr>
          <w:trHeight w:val="169"/>
        </w:trPr>
        <w:tc>
          <w:tcPr>
            <w:tcW w:w="5280" w:type="dxa"/>
            <w:vAlign w:val="bottom"/>
          </w:tcPr>
          <w:p>
            <w:pPr>
              <w:ind w:left="20"/>
              <w:spacing w:after="0" w:line="16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Variable "at risk" compensation targeted at a significantly larger</w:t>
            </w:r>
          </w:p>
        </w:tc>
        <w:tc>
          <w:tcPr>
            <w:tcW w:w="5420" w:type="dxa"/>
            <w:vAlign w:val="bottom"/>
            <w:tcBorders>
              <w:right w:val="single" w:sz="8" w:color="auto"/>
            </w:tcBorders>
          </w:tcPr>
          <w:p>
            <w:pPr>
              <w:ind w:left="80"/>
              <w:spacing w:after="0" w:line="169"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do not provide significant perquisites to executives</w:t>
            </w:r>
          </w:p>
        </w:tc>
      </w:tr>
      <w:tr>
        <w:trPr>
          <w:trHeight w:val="239"/>
        </w:trPr>
        <w:tc>
          <w:tcPr>
            <w:tcW w:w="5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share vs. fixed base salary</w:t>
            </w:r>
          </w:p>
        </w:tc>
        <w:tc>
          <w:tcPr>
            <w:tcW w:w="5420" w:type="dxa"/>
            <w:vAlign w:val="bottom"/>
            <w:tcBorders>
              <w:bottom w:val="single" w:sz="8" w:color="auto"/>
              <w:right w:val="single" w:sz="8" w:color="auto"/>
            </w:tcBorders>
          </w:tcPr>
          <w:p>
            <w:pPr>
              <w:spacing w:after="0"/>
              <w:rPr>
                <w:sz w:val="20"/>
                <w:szCs w:val="20"/>
                <w:color w:val="auto"/>
              </w:rPr>
            </w:pPr>
          </w:p>
        </w:tc>
      </w:tr>
      <w:tr>
        <w:trPr>
          <w:trHeight w:val="173"/>
        </w:trPr>
        <w:tc>
          <w:tcPr>
            <w:tcW w:w="5280" w:type="dxa"/>
            <w:vAlign w:val="bottom"/>
          </w:tcPr>
          <w:p>
            <w:pPr>
              <w:ind w:left="20"/>
              <w:spacing w:after="0" w:line="173"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Compensation aligned with performance achievements</w:t>
            </w:r>
          </w:p>
        </w:tc>
        <w:tc>
          <w:tcPr>
            <w:tcW w:w="5420" w:type="dxa"/>
            <w:vAlign w:val="bottom"/>
            <w:tcBorders>
              <w:right w:val="single" w:sz="8" w:color="auto"/>
            </w:tcBorders>
          </w:tcPr>
          <w:p>
            <w:pPr>
              <w:ind w:left="8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prohibit hedging and short-sales of Company stock by executives</w:t>
            </w:r>
          </w:p>
        </w:tc>
      </w:tr>
      <w:tr>
        <w:trPr>
          <w:trHeight w:val="239"/>
        </w:trPr>
        <w:tc>
          <w:tcPr>
            <w:tcW w:w="5280" w:type="dxa"/>
            <w:vAlign w:val="bottom"/>
            <w:tcBorders>
              <w:bottom w:val="single" w:sz="8" w:color="auto"/>
            </w:tcBorders>
          </w:tcPr>
          <w:p>
            <w:pPr>
              <w:spacing w:after="0"/>
              <w:rPr>
                <w:sz w:val="20"/>
                <w:szCs w:val="20"/>
                <w:color w:val="auto"/>
              </w:rPr>
            </w:pPr>
          </w:p>
        </w:tc>
        <w:tc>
          <w:tcPr>
            <w:tcW w:w="542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and directors</w:t>
            </w:r>
          </w:p>
        </w:tc>
      </w:tr>
      <w:tr>
        <w:trPr>
          <w:trHeight w:val="173"/>
        </w:trPr>
        <w:tc>
          <w:tcPr>
            <w:tcW w:w="5280" w:type="dxa"/>
            <w:vAlign w:val="bottom"/>
          </w:tcPr>
          <w:p>
            <w:pPr>
              <w:ind w:left="20"/>
              <w:spacing w:after="0" w:line="173"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Incentive plan payouts capped on amounts that executives can earn</w:t>
            </w:r>
          </w:p>
        </w:tc>
        <w:tc>
          <w:tcPr>
            <w:tcW w:w="5420" w:type="dxa"/>
            <w:vAlign w:val="bottom"/>
            <w:tcBorders>
              <w:right w:val="single" w:sz="8" w:color="auto"/>
            </w:tcBorders>
          </w:tcPr>
          <w:p>
            <w:pPr>
              <w:ind w:left="8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discourage executives and directors from pledging Company</w:t>
            </w:r>
          </w:p>
        </w:tc>
      </w:tr>
      <w:tr>
        <w:trPr>
          <w:trHeight w:val="239"/>
        </w:trPr>
        <w:tc>
          <w:tcPr>
            <w:tcW w:w="5280" w:type="dxa"/>
            <w:vAlign w:val="bottom"/>
            <w:tcBorders>
              <w:bottom w:val="single" w:sz="8" w:color="auto"/>
            </w:tcBorders>
          </w:tcPr>
          <w:p>
            <w:pPr>
              <w:spacing w:after="0"/>
              <w:rPr>
                <w:sz w:val="20"/>
                <w:szCs w:val="20"/>
                <w:color w:val="auto"/>
              </w:rPr>
            </w:pPr>
          </w:p>
        </w:tc>
        <w:tc>
          <w:tcPr>
            <w:tcW w:w="542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stock or holding shares in a margin account</w:t>
            </w:r>
          </w:p>
        </w:tc>
      </w:tr>
      <w:tr>
        <w:trPr>
          <w:trHeight w:val="173"/>
        </w:trPr>
        <w:tc>
          <w:tcPr>
            <w:tcW w:w="5280" w:type="dxa"/>
            <w:vAlign w:val="bottom"/>
          </w:tcPr>
          <w:p>
            <w:pPr>
              <w:ind w:left="20"/>
              <w:spacing w:after="0" w:line="173"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Change-in-control severance is a "double trigger" for our CEO</w:t>
            </w:r>
          </w:p>
        </w:tc>
        <w:tc>
          <w:tcPr>
            <w:tcW w:w="5420" w:type="dxa"/>
            <w:vAlign w:val="bottom"/>
            <w:tcBorders>
              <w:right w:val="single" w:sz="8" w:color="auto"/>
            </w:tcBorders>
          </w:tcPr>
          <w:p>
            <w:pPr>
              <w:ind w:left="8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do not pay dividends on unvested equity-based compensation</w:t>
            </w:r>
          </w:p>
        </w:tc>
      </w:tr>
      <w:tr>
        <w:trPr>
          <w:trHeight w:val="239"/>
        </w:trPr>
        <w:tc>
          <w:tcPr>
            <w:tcW w:w="5280" w:type="dxa"/>
            <w:vAlign w:val="bottom"/>
            <w:tcBorders>
              <w:bottom w:val="single" w:sz="8" w:color="auto"/>
            </w:tcBorders>
          </w:tcPr>
          <w:p>
            <w:pPr>
              <w:spacing w:after="0"/>
              <w:rPr>
                <w:sz w:val="20"/>
                <w:szCs w:val="20"/>
                <w:color w:val="auto"/>
              </w:rPr>
            </w:pPr>
          </w:p>
        </w:tc>
        <w:tc>
          <w:tcPr>
            <w:tcW w:w="5420" w:type="dxa"/>
            <w:vAlign w:val="bottom"/>
            <w:tcBorders>
              <w:bottom w:val="single" w:sz="8" w:color="auto"/>
              <w:right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awards</w:t>
            </w:r>
          </w:p>
        </w:tc>
      </w:tr>
      <w:tr>
        <w:trPr>
          <w:trHeight w:val="173"/>
        </w:trPr>
        <w:tc>
          <w:tcPr>
            <w:tcW w:w="5280" w:type="dxa"/>
            <w:vAlign w:val="bottom"/>
          </w:tcPr>
          <w:p>
            <w:pPr>
              <w:ind w:left="20"/>
              <w:spacing w:after="0" w:line="173"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Officers and directors are required to own significant amounts of</w:t>
            </w:r>
          </w:p>
        </w:tc>
        <w:tc>
          <w:tcPr>
            <w:tcW w:w="5420" w:type="dxa"/>
            <w:vAlign w:val="bottom"/>
            <w:tcBorders>
              <w:right w:val="single" w:sz="8" w:color="auto"/>
            </w:tcBorders>
          </w:tcPr>
          <w:p>
            <w:pPr>
              <w:ind w:left="8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prohibit repricing of stock options without stockholder approval</w:t>
            </w:r>
          </w:p>
        </w:tc>
      </w:tr>
      <w:tr>
        <w:trPr>
          <w:trHeight w:val="239"/>
        </w:trPr>
        <w:tc>
          <w:tcPr>
            <w:tcW w:w="5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Company stock</w:t>
            </w:r>
          </w:p>
        </w:tc>
        <w:tc>
          <w:tcPr>
            <w:tcW w:w="5420" w:type="dxa"/>
            <w:vAlign w:val="bottom"/>
            <w:tcBorders>
              <w:bottom w:val="single" w:sz="8" w:color="auto"/>
              <w:right w:val="single" w:sz="8" w:color="auto"/>
            </w:tcBorders>
          </w:tcPr>
          <w:p>
            <w:pPr>
              <w:spacing w:after="0"/>
              <w:rPr>
                <w:sz w:val="20"/>
                <w:szCs w:val="20"/>
                <w:color w:val="auto"/>
              </w:rPr>
            </w:pPr>
          </w:p>
        </w:tc>
      </w:tr>
      <w:tr>
        <w:trPr>
          <w:trHeight w:val="173"/>
        </w:trPr>
        <w:tc>
          <w:tcPr>
            <w:tcW w:w="5280" w:type="dxa"/>
            <w:vAlign w:val="bottom"/>
          </w:tcPr>
          <w:p>
            <w:pPr>
              <w:ind w:left="20"/>
              <w:spacing w:after="0" w:line="173"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Clawback policy allows recovery of incentives for financial</w:t>
            </w:r>
          </w:p>
        </w:tc>
        <w:tc>
          <w:tcPr>
            <w:tcW w:w="5420" w:type="dxa"/>
            <w:vAlign w:val="bottom"/>
            <w:tcBorders>
              <w:right w:val="single" w:sz="8" w:color="auto"/>
            </w:tcBorders>
          </w:tcPr>
          <w:p>
            <w:pPr>
              <w:ind w:left="80"/>
              <w:spacing w:after="0" w:line="173" w:lineRule="exact"/>
              <w:rPr>
                <w:sz w:val="20"/>
                <w:szCs w:val="20"/>
                <w:color w:val="auto"/>
              </w:rPr>
            </w:pPr>
            <w:r>
              <w:rPr>
                <w:rFonts w:ascii="Wingdings" w:cs="Wingdings" w:eastAsia="Wingdings" w:hAnsi="Wingdings"/>
                <w:sz w:val="18"/>
                <w:szCs w:val="18"/>
                <w:b w:val="1"/>
                <w:bCs w:val="1"/>
                <w:color w:val="auto"/>
              </w:rPr>
              <w:t xml:space="preserve">û </w:t>
            </w:r>
            <w:r>
              <w:rPr>
                <w:rFonts w:ascii="Times New Roman" w:cs="Times New Roman" w:eastAsia="Times New Roman" w:hAnsi="Times New Roman"/>
                <w:sz w:val="18"/>
                <w:szCs w:val="18"/>
                <w:color w:val="auto"/>
              </w:rPr>
              <w:t>We do not gross-up change-in-control related benefits for excise tax</w:t>
            </w:r>
          </w:p>
        </w:tc>
      </w:tr>
      <w:tr>
        <w:trPr>
          <w:trHeight w:val="239"/>
        </w:trPr>
        <w:tc>
          <w:tcPr>
            <w:tcW w:w="52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restatements due to misconduct or fraud</w:t>
            </w:r>
          </w:p>
        </w:tc>
        <w:tc>
          <w:tcPr>
            <w:tcW w:w="5420" w:type="dxa"/>
            <w:vAlign w:val="bottom"/>
            <w:tcBorders>
              <w:bottom w:val="single" w:sz="8" w:color="auto"/>
              <w:right w:val="single" w:sz="8" w:color="auto"/>
            </w:tcBorders>
          </w:tcPr>
          <w:p>
            <w:pPr>
              <w:spacing w:after="0"/>
              <w:rPr>
                <w:sz w:val="20"/>
                <w:szCs w:val="20"/>
                <w:color w:val="auto"/>
              </w:rPr>
            </w:pPr>
          </w:p>
        </w:tc>
      </w:tr>
    </w:tbl>
    <w:p>
      <w:pPr>
        <w:ind w:left="780" w:hanging="336"/>
        <w:spacing w:after="0"/>
        <w:tabs>
          <w:tab w:leader="none" w:pos="780"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465455</wp:posOffset>
            </wp:positionH>
            <wp:positionV relativeFrom="page">
              <wp:posOffset>380365</wp:posOffset>
            </wp:positionV>
            <wp:extent cx="3394710" cy="2237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94710" cy="2237105"/>
                    </a:xfrm>
                    <a:prstGeom prst="rect">
                      <a:avLst/>
                    </a:prstGeom>
                    <a:noFill/>
                  </pic:spPr>
                </pic:pic>
              </a:graphicData>
            </a:graphic>
          </wp:anchor>
        </w:drawing>
        <w:t>Appropriate post-employment and change-in-control arrangements</w:t>
      </w:r>
    </w:p>
    <w:p>
      <w:pPr>
        <w:spacing w:after="0" w:line="42" w:lineRule="exact"/>
        <w:rPr>
          <w:rFonts w:ascii="MS PGothic" w:cs="MS PGothic" w:eastAsia="MS PGothic" w:hAnsi="MS PGothic"/>
          <w:sz w:val="18"/>
          <w:szCs w:val="18"/>
          <w:color w:val="auto"/>
        </w:rPr>
      </w:pPr>
    </w:p>
    <w:p>
      <w:pPr>
        <w:ind w:left="760" w:right="5540" w:hanging="316"/>
        <w:spacing w:after="0" w:line="231" w:lineRule="auto"/>
        <w:tabs>
          <w:tab w:leader="none" w:pos="764" w:val="left"/>
        </w:tabs>
        <w:numPr>
          <w:ilvl w:val="0"/>
          <w:numId w:val="3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McLagan Partners survey results used for competitive compensation market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In designing and implementing our executive compensation program, the Compensation and Human Capital Committee is guided by the following philosophy and objectives:</w:t>
      </w:r>
    </w:p>
    <w:p>
      <w:pPr>
        <w:spacing w:after="0" w:line="75"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Deliver competitive compensation at levels that attract, motivate and retain talented executives who contribute to the success of our business</w:t>
      </w:r>
    </w:p>
    <w:p>
      <w:pPr>
        <w:spacing w:after="0" w:line="130" w:lineRule="exact"/>
        <w:rPr>
          <w:rFonts w:ascii="Arial" w:cs="Arial" w:eastAsia="Arial" w:hAnsi="Arial"/>
          <w:sz w:val="22"/>
          <w:szCs w:val="22"/>
          <w:color w:val="auto"/>
        </w:rPr>
      </w:pPr>
    </w:p>
    <w:p>
      <w:pPr>
        <w:ind w:left="660" w:right="300" w:hanging="328"/>
        <w:spacing w:after="0" w:line="234"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Award compensation that motivates and rewards short- and long-term individual and company performance while discouraging excessive risk-taking</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Align named executive officers’ interests with those of our stockholders.</w:t>
      </w:r>
    </w:p>
    <w:p>
      <w:pPr>
        <w:spacing w:after="0" w:line="9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As an executive's leadership role expands in scope, duties and responsibilities, we believe that (1) an increasing share of total targeted compensation should be performance-based, (2) compensation plans should incentivize retention of key executives, and (3) base salary should be a relatively smaller portion of total targeted compensation. We further believe that a named executive officer's compensation should reflect a mix of Company and individual performance. In 2022, Mr. Casey’s compensation continued to align his interests with other stockholders as well as with our compensation philosophy as he received both a cash incentive and long-term stock incentive awards.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Compensation Data</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Compensation and Human Capital Committee reviewed market compensation data obtained from the McLagan 2022 Survey–U.S., a widely-used source for compensation information for public and private investment firms (the "McLagan Survey"), primarily focusing on firms with assets under management below $15 billion.</w:t>
      </w:r>
    </w:p>
    <w:p>
      <w:pPr>
        <w:spacing w:after="0" w:line="68"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The McLagan Survey provides compensation details for investment management employees in greater depth than those available from public peers and focuses specifically on the asset management industry. The McLagan Survey provides market compensation data for 157 public and private investment management firms. Confidentiality obligations to McLagan Partners and its survey participants prevent disclosure of the firms included in the survey. The Committee considers the market compensation data derived from the McLagan Survey to be relevant. The Committee refers to this source of information to ensure, in its subjective judgment, that individual pay components remain competitive. The Committee does not target any individual pay component of the named executive officers to fall within a specific range or percentile of the market compensation data derived from the McLagan Survey.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Summary Compensation Table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all compensation earned by our named executive officers for the years indicated.</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579"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2"/>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Non-Equity</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Incentive</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All</w:t>
            </w:r>
          </w:p>
        </w:tc>
        <w:tc>
          <w:tcPr>
            <w:tcW w:w="12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Plan</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60" w:type="dxa"/>
            <w:vAlign w:val="bottom"/>
          </w:tcPr>
          <w:p>
            <w:pPr>
              <w:spacing w:after="0"/>
              <w:rPr>
                <w:sz w:val="18"/>
                <w:szCs w:val="18"/>
                <w:color w:val="auto"/>
              </w:rPr>
            </w:pPr>
          </w:p>
        </w:tc>
      </w:tr>
      <w:tr>
        <w:trPr>
          <w:trHeight w:val="216"/>
        </w:trPr>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60" w:type="dxa"/>
            <w:vAlign w:val="bottom"/>
          </w:tcPr>
          <w:p>
            <w:pPr>
              <w:spacing w:after="0"/>
              <w:rPr>
                <w:sz w:val="18"/>
                <w:szCs w:val="18"/>
                <w:color w:val="auto"/>
              </w:rPr>
            </w:pPr>
          </w:p>
        </w:tc>
      </w:tr>
      <w:tr>
        <w:trPr>
          <w:trHeight w:val="216"/>
        </w:trPr>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and</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860" w:type="dxa"/>
            <w:vAlign w:val="bottom"/>
          </w:tcPr>
          <w:p>
            <w:pPr>
              <w:jc w:val="right"/>
              <w:ind w:right="25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300" w:type="dxa"/>
            <w:vAlign w:val="bottom"/>
          </w:tcPr>
          <w:p>
            <w:pPr>
              <w:jc w:val="right"/>
              <w:ind w:right="47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20" w:type="dxa"/>
            <w:vAlign w:val="bottom"/>
          </w:tcPr>
          <w:p>
            <w:pPr>
              <w:jc w:val="right"/>
              <w:ind w:right="538"/>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6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3"/>
        </w:trPr>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Principal Position</w:t>
            </w:r>
          </w:p>
        </w:tc>
        <w:tc>
          <w:tcPr>
            <w:tcW w:w="100" w:type="dxa"/>
            <w:vAlign w:val="bottom"/>
          </w:tcPr>
          <w:p>
            <w:pPr>
              <w:spacing w:after="0"/>
              <w:rPr>
                <w:sz w:val="18"/>
                <w:szCs w:val="18"/>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w:t>
            </w:r>
          </w:p>
        </w:tc>
        <w:tc>
          <w:tcPr>
            <w:tcW w:w="1020" w:type="dxa"/>
            <w:vAlign w:val="bottom"/>
          </w:tcPr>
          <w:p>
            <w:pPr>
              <w:ind w:left="4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w:t>
            </w:r>
          </w:p>
        </w:tc>
        <w:tc>
          <w:tcPr>
            <w:tcW w:w="1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(g)</w:t>
            </w: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8"/>
        </w:trPr>
        <w:tc>
          <w:tcPr>
            <w:tcW w:w="2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Pr>
          <w:p>
            <w:pPr>
              <w:spacing w:after="0"/>
              <w:rPr>
                <w:sz w:val="20"/>
                <w:szCs w:val="20"/>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120" w:type="dxa"/>
            <w:vAlign w:val="bottom"/>
          </w:tcPr>
          <w:p>
            <w:pPr>
              <w:jc w:val="right"/>
              <w:ind w:right="378"/>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0"/>
                <w:szCs w:val="20"/>
                <w:color w:val="auto"/>
              </w:rPr>
            </w:pP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(d)</w:t>
            </w:r>
          </w:p>
        </w:tc>
        <w:tc>
          <w:tcPr>
            <w:tcW w:w="860" w:type="dxa"/>
            <w:vAlign w:val="bottom"/>
          </w:tcPr>
          <w:p>
            <w:pPr>
              <w:jc w:val="right"/>
              <w:ind w:right="238"/>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0"/>
                <w:szCs w:val="20"/>
                <w:color w:val="auto"/>
              </w:rPr>
            </w:pPr>
          </w:p>
        </w:tc>
        <w:tc>
          <w:tcPr>
            <w:tcW w:w="1300" w:type="dxa"/>
            <w:vAlign w:val="bottom"/>
          </w:tcPr>
          <w:p>
            <w:pPr>
              <w:jc w:val="right"/>
              <w:ind w:right="458"/>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1420" w:type="dxa"/>
            <w:vAlign w:val="bottom"/>
          </w:tcPr>
          <w:p>
            <w:pPr>
              <w:jc w:val="right"/>
              <w:ind w:right="518"/>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0"/>
                <w:szCs w:val="20"/>
                <w:color w:val="auto"/>
              </w:rPr>
            </w:pPr>
          </w:p>
        </w:tc>
        <w:tc>
          <w:tcPr>
            <w:tcW w:w="126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(h)</w:t>
            </w:r>
          </w:p>
        </w:tc>
      </w:tr>
      <w:tr>
        <w:trPr>
          <w:trHeight w:val="204"/>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312,500</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9"/>
              </w:rPr>
              <w:t>281,250</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1,362,050</w:t>
            </w:r>
          </w:p>
        </w:tc>
      </w:tr>
      <w:tr>
        <w:trPr>
          <w:trHeight w:val="21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Chief Executive Officer</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w w:val="99"/>
              </w:rPr>
              <w:t>937,500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17,400</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1,704,900</w:t>
            </w:r>
          </w:p>
        </w:tc>
      </w:tr>
      <w:tr>
        <w:trPr>
          <w:trHeight w:val="222"/>
        </w:trPr>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733,333</w:t>
            </w: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17,100</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750,433</w:t>
            </w:r>
          </w:p>
        </w:tc>
      </w:tr>
      <w:tr>
        <w:trPr>
          <w:trHeight w:val="204"/>
        </w:trPr>
        <w:tc>
          <w:tcPr>
            <w:tcW w:w="2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100" w:type="dxa"/>
            <w:vAlign w:val="bottom"/>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347,916</w:t>
            </w:r>
          </w:p>
        </w:tc>
        <w:tc>
          <w:tcPr>
            <w:tcW w:w="80" w:type="dxa"/>
            <w:vAlign w:val="bottom"/>
          </w:tcPr>
          <w:p>
            <w:pPr>
              <w:spacing w:after="0"/>
              <w:rPr>
                <w:sz w:val="17"/>
                <w:szCs w:val="17"/>
                <w:color w:val="auto"/>
              </w:rPr>
            </w:pPr>
          </w:p>
        </w:tc>
        <w:tc>
          <w:tcPr>
            <w:tcW w:w="102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257,813</w:t>
            </w:r>
          </w:p>
        </w:tc>
        <w:tc>
          <w:tcPr>
            <w:tcW w:w="100" w:type="dxa"/>
            <w:vAlign w:val="bottom"/>
          </w:tcPr>
          <w:p>
            <w:pPr>
              <w:spacing w:after="0"/>
              <w:rPr>
                <w:sz w:val="17"/>
                <w:szCs w:val="17"/>
                <w:color w:val="auto"/>
              </w:rPr>
            </w:pPr>
          </w:p>
        </w:tc>
        <w:tc>
          <w:tcPr>
            <w:tcW w:w="130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6"/>
                <w:szCs w:val="16"/>
                <w:color w:val="auto"/>
                <w:w w:val="99"/>
              </w:rPr>
              <w:t>200,000</w:t>
            </w:r>
          </w:p>
        </w:tc>
        <w:tc>
          <w:tcPr>
            <w:tcW w:w="100" w:type="dxa"/>
            <w:vAlign w:val="bottom"/>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18,300</w:t>
            </w:r>
          </w:p>
        </w:tc>
        <w:tc>
          <w:tcPr>
            <w:tcW w:w="100" w:type="dxa"/>
            <w:vAlign w:val="bottom"/>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824,029</w:t>
            </w:r>
          </w:p>
        </w:tc>
      </w:tr>
      <w:tr>
        <w:trPr>
          <w:trHeight w:val="216"/>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President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80" w:type="dxa"/>
            <w:vAlign w:val="bottom"/>
          </w:tcPr>
          <w:p>
            <w:pPr>
              <w:spacing w:after="0"/>
              <w:rPr>
                <w:sz w:val="18"/>
                <w:szCs w:val="18"/>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282,813</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225,000</w:t>
            </w:r>
          </w:p>
        </w:tc>
        <w:tc>
          <w:tcPr>
            <w:tcW w:w="10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800,213</w:t>
            </w:r>
          </w:p>
        </w:tc>
      </w:tr>
      <w:tr>
        <w:trPr>
          <w:trHeight w:val="219"/>
        </w:trPr>
        <w:tc>
          <w:tcPr>
            <w:tcW w:w="27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272,500</w:t>
            </w:r>
          </w:p>
        </w:tc>
        <w:tc>
          <w:tcPr>
            <w:tcW w:w="80" w:type="dxa"/>
            <w:vAlign w:val="bottom"/>
          </w:tcPr>
          <w:p>
            <w:pPr>
              <w:spacing w:after="0"/>
              <w:rPr>
                <w:sz w:val="19"/>
                <w:szCs w:val="19"/>
                <w:color w:val="auto"/>
              </w:rPr>
            </w:pPr>
          </w:p>
        </w:tc>
        <w:tc>
          <w:tcPr>
            <w:tcW w:w="1020" w:type="dxa"/>
            <w:vAlign w:val="bottom"/>
          </w:tcPr>
          <w:p>
            <w:pPr>
              <w:ind w:left="480"/>
              <w:spacing w:after="0"/>
              <w:rPr>
                <w:sz w:val="20"/>
                <w:szCs w:val="20"/>
                <w:color w:val="auto"/>
              </w:rPr>
            </w:pPr>
            <w:r>
              <w:rPr>
                <w:rFonts w:ascii="Times New Roman" w:cs="Times New Roman" w:eastAsia="Times New Roman" w:hAnsi="Times New Roman"/>
                <w:sz w:val="16"/>
                <w:szCs w:val="16"/>
                <w:color w:val="auto"/>
                <w:w w:val="99"/>
              </w:rPr>
              <w:t>225,000</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100" w:type="dxa"/>
            <w:vAlign w:val="bottom"/>
          </w:tcPr>
          <w:p>
            <w:pPr>
              <w:spacing w:after="0"/>
              <w:rPr>
                <w:sz w:val="19"/>
                <w:szCs w:val="19"/>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17,100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764,600</w:t>
            </w:r>
          </w:p>
        </w:tc>
      </w:tr>
      <w:tr>
        <w:trPr>
          <w:trHeight w:val="207"/>
        </w:trPr>
        <w:tc>
          <w:tcPr>
            <w:tcW w:w="2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Leah Bennett</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244,792</w:t>
            </w:r>
          </w:p>
        </w:tc>
        <w:tc>
          <w:tcPr>
            <w:tcW w:w="8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235,000</w:t>
            </w:r>
          </w:p>
        </w:tc>
        <w:tc>
          <w:tcPr>
            <w:tcW w:w="10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9"/>
              </w:rPr>
              <w:t>100,000</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124,395</w:t>
            </w: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704,187</w:t>
            </w:r>
          </w:p>
        </w:tc>
      </w:tr>
      <w:tr>
        <w:trPr>
          <w:trHeight w:val="168"/>
        </w:trPr>
        <w:tc>
          <w:tcPr>
            <w:tcW w:w="2760" w:type="dxa"/>
            <w:vAlign w:val="bottom"/>
            <w:shd w:val="clear" w:color="auto" w:fill="CCEEFF"/>
          </w:tcPr>
          <w:p>
            <w:pPr>
              <w:ind w:left="180"/>
              <w:spacing w:after="0" w:line="168" w:lineRule="exact"/>
              <w:rPr>
                <w:sz w:val="20"/>
                <w:szCs w:val="20"/>
                <w:color w:val="auto"/>
              </w:rPr>
            </w:pPr>
            <w:r>
              <w:rPr>
                <w:rFonts w:ascii="Times New Roman" w:cs="Times New Roman" w:eastAsia="Times New Roman" w:hAnsi="Times New Roman"/>
                <w:sz w:val="16"/>
                <w:szCs w:val="16"/>
                <w:color w:val="auto"/>
              </w:rPr>
              <w:t>President, Westwood Wealth</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16"/>
        </w:trPr>
        <w:tc>
          <w:tcPr>
            <w:tcW w:w="2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Management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bl>
    <w:p>
      <w:pPr>
        <w:spacing w:after="0" w:line="315" w:lineRule="exact"/>
        <w:rPr>
          <w:sz w:val="20"/>
          <w:szCs w:val="20"/>
          <w:color w:val="auto"/>
        </w:rPr>
      </w:pPr>
    </w:p>
    <w:p>
      <w:pPr>
        <w:ind w:left="220" w:hanging="212"/>
        <w:spacing w:after="0"/>
        <w:tabs>
          <w:tab w:leader="none" w:pos="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base compensation earned during each of the fiscal years presented.</w:t>
      </w:r>
    </w:p>
    <w:p>
      <w:pPr>
        <w:spacing w:after="0" w:line="17"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awards are typically given in arrears for preceding year performance. The awards for 2022 performance were granted in February 2023 and will not be shown in the above</w:t>
      </w:r>
    </w:p>
    <w:p>
      <w:pPr>
        <w:spacing w:after="0" w:line="11" w:lineRule="exact"/>
        <w:rPr>
          <w:sz w:val="20"/>
          <w:szCs w:val="20"/>
          <w:color w:val="auto"/>
        </w:rPr>
      </w:pPr>
    </w:p>
    <w:p>
      <w:pPr>
        <w:ind w:left="500" w:right="140"/>
        <w:spacing w:after="0" w:line="261" w:lineRule="auto"/>
        <w:rPr>
          <w:sz w:val="20"/>
          <w:szCs w:val="20"/>
          <w:color w:val="auto"/>
        </w:rPr>
      </w:pPr>
      <w:r>
        <w:rPr>
          <w:rFonts w:ascii="Times New Roman" w:cs="Times New Roman" w:eastAsia="Times New Roman" w:hAnsi="Times New Roman"/>
          <w:sz w:val="14"/>
          <w:szCs w:val="14"/>
          <w:color w:val="auto"/>
        </w:rPr>
        <w:t>table until the 2024 proxy. The grants shown in 2022 were for the 2021 performance year, the grant shown in 2021 was for the 2020 performance year, and the grant shown in 2020 was for the 2019 performance year.</w:t>
      </w:r>
    </w:p>
    <w:p>
      <w:pPr>
        <w:spacing w:after="0" w:line="1" w:lineRule="exact"/>
        <w:rPr>
          <w:sz w:val="20"/>
          <w:szCs w:val="20"/>
          <w:color w:val="auto"/>
        </w:rPr>
      </w:pPr>
    </w:p>
    <w:p>
      <w:pPr>
        <w:ind w:left="500" w:right="240"/>
        <w:spacing w:after="0" w:line="256" w:lineRule="auto"/>
        <w:rPr>
          <w:sz w:val="20"/>
          <w:szCs w:val="20"/>
          <w:color w:val="auto"/>
        </w:rPr>
      </w:pPr>
      <w:r>
        <w:rPr>
          <w:rFonts w:ascii="Times New Roman" w:cs="Times New Roman" w:eastAsia="Times New Roman" w:hAnsi="Times New Roman"/>
          <w:sz w:val="14"/>
          <w:szCs w:val="14"/>
          <w:color w:val="auto"/>
        </w:rPr>
        <w:t>For 2022, the amounts contained in column (e) reflect (i) for Mr. Casey, the grant date fair value of his time-vested restricted stock award (18,657 shares) (ii) for Mr. Gomez, the grant date fair value of his time-vested restricted stock award (15,392 shares), and (iii) for Ms. Bennett, the grant date fair value of her time-vested restricted stock award (14,030 shares). For 2021, the amounts contained in column (e) reflect (i) no restricted stock award granted for Mr. Casey and (ii) for Mr. Gomez, the grant date fair value of his time-vested restricted stock award (13,128 shares).</w:t>
      </w:r>
    </w:p>
    <w:p>
      <w:pPr>
        <w:spacing w:after="0" w:line="2" w:lineRule="exact"/>
        <w:rPr>
          <w:sz w:val="20"/>
          <w:szCs w:val="20"/>
          <w:color w:val="auto"/>
        </w:rPr>
      </w:pPr>
    </w:p>
    <w:p>
      <w:pPr>
        <w:ind w:left="500" w:right="260"/>
        <w:spacing w:after="0" w:line="261" w:lineRule="auto"/>
        <w:rPr>
          <w:sz w:val="20"/>
          <w:szCs w:val="20"/>
          <w:color w:val="auto"/>
        </w:rPr>
      </w:pPr>
      <w:r>
        <w:rPr>
          <w:rFonts w:ascii="Times New Roman" w:cs="Times New Roman" w:eastAsia="Times New Roman" w:hAnsi="Times New Roman"/>
          <w:sz w:val="14"/>
          <w:szCs w:val="14"/>
          <w:color w:val="auto"/>
        </w:rPr>
        <w:t>For 2020, the amounts contained in column (e) reflect (i) no restricted stock award granted for Mr. Casey and (ii) for Mr. Gomez, the grant date fair value of his time-vested restricted stock award (9,036 shares).</w:t>
      </w:r>
    </w:p>
    <w:p>
      <w:pPr>
        <w:spacing w:after="0" w:line="1" w:lineRule="exact"/>
        <w:rPr>
          <w:sz w:val="20"/>
          <w:szCs w:val="20"/>
          <w:color w:val="auto"/>
        </w:rPr>
      </w:pPr>
    </w:p>
    <w:p>
      <w:pPr>
        <w:ind w:left="500" w:right="180"/>
        <w:spacing w:after="0" w:line="254" w:lineRule="auto"/>
        <w:rPr>
          <w:sz w:val="20"/>
          <w:szCs w:val="20"/>
          <w:color w:val="auto"/>
        </w:rPr>
      </w:pPr>
      <w:r>
        <w:rPr>
          <w:rFonts w:ascii="Times New Roman" w:cs="Times New Roman" w:eastAsia="Times New Roman" w:hAnsi="Times New Roman"/>
          <w:sz w:val="14"/>
          <w:szCs w:val="14"/>
          <w:color w:val="auto"/>
        </w:rPr>
        <w:t>The above grant date fair values reported in column (e) were calculated in accordance with Accounting Standards Codification Topic 718 ("ASC 718"), "Stock Compensation." The assumptions used in the valuation of the time-vested restricted stock awards are discussed in Note 7 "Employee Benefits" of our audited financial statements, which are included in our 2022 Form 10-K. See the "Executive Compensation" section above for a further description of these restricted stock awards.</w:t>
      </w:r>
    </w:p>
    <w:p>
      <w:pPr>
        <w:spacing w:after="0" w:line="2" w:lineRule="exact"/>
        <w:rPr>
          <w:sz w:val="20"/>
          <w:szCs w:val="20"/>
          <w:color w:val="auto"/>
        </w:rPr>
      </w:pPr>
    </w:p>
    <w:p>
      <w:pPr>
        <w:ind w:left="500" w:right="120"/>
        <w:spacing w:after="0" w:line="256" w:lineRule="auto"/>
        <w:rPr>
          <w:sz w:val="20"/>
          <w:szCs w:val="20"/>
          <w:color w:val="auto"/>
        </w:rPr>
      </w:pPr>
      <w:r>
        <w:rPr>
          <w:rFonts w:ascii="Times New Roman" w:cs="Times New Roman" w:eastAsia="Times New Roman" w:hAnsi="Times New Roman"/>
          <w:sz w:val="14"/>
          <w:szCs w:val="14"/>
          <w:color w:val="auto"/>
        </w:rPr>
        <w:t>Amounts reported in the stock awards column of the Summary Compensation Tables set forth in the Company’s 2021 and 2022 proxy statements included the grant date fair values of restricted stock awards that were granted shortly after the end of the applicable covered year, but which were determined based on the applicable named executive officer’s performance for the covered year. Pursuant to Item 402(c)(2)(v) of SEC Regulation S-K, amounts reported in the stock awards column in the Summary Compensation Table above have been revised to report the grant date fair value of each restricted stock award in the year in which the award was granted.</w:t>
      </w:r>
    </w:p>
    <w:p>
      <w:pPr>
        <w:spacing w:after="0" w:line="2" w:lineRule="exact"/>
        <w:rPr>
          <w:sz w:val="20"/>
          <w:szCs w:val="20"/>
          <w:color w:val="auto"/>
        </w:rPr>
      </w:pPr>
    </w:p>
    <w:p>
      <w:pPr>
        <w:ind w:left="500" w:right="220" w:hanging="492"/>
        <w:spacing w:after="0" w:line="261" w:lineRule="auto"/>
        <w:tabs>
          <w:tab w:leader="none" w:pos="21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2022, the amounts for Messrs. Casey and Gomez and Ms. Bennett reflect the cash payments made under our executive compensation program Each of these payments was approved in 2023.</w:t>
      </w:r>
    </w:p>
    <w:p>
      <w:pPr>
        <w:ind w:left="500" w:right="60" w:hanging="492"/>
        <w:spacing w:after="0" w:line="262" w:lineRule="auto"/>
        <w:tabs>
          <w:tab w:leader="none" w:pos="218"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column (g) reflect each named executive officer’s 401(k) Company matching contribution. See "Other Benefits and Perquisites" below for a description of plan contributions. They also reflect commission payments made to Ms. Bennett under the New Business Incentive Program for Wealth Management. Ms. Bennett’s 401(k) Company matching contribution was $18,300 and commission payments were $106,095.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121"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For 2022, the principal components of compensation for our named executive officers were base salary, an annual cash incentive award, a long-term equity award paid in restricted stock, commission payments, and employee and post-retirement benefits as further described below. 48% of average 2022 direct compensation for the named executive officers represented "at risk" compensation delivered in the form of performance-based annual cash incentive awards and time-based long-term equity awards.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Base salary is the fixed component of our named executive officers’ annual cash compensation. The Company provides its named executive officers with a base salary for services rendered during the year and in recognition of their expertise, knowledge and experience.</w:t>
      </w:r>
    </w:p>
    <w:p>
      <w:pPr>
        <w:spacing w:after="0" w:line="54" w:lineRule="exact"/>
        <w:rPr>
          <w:sz w:val="20"/>
          <w:szCs w:val="20"/>
          <w:color w:val="auto"/>
        </w:rPr>
      </w:pPr>
    </w:p>
    <w:p>
      <w:pPr>
        <w:ind w:right="100" w:firstLine="405"/>
        <w:spacing w:after="0" w:line="261" w:lineRule="auto"/>
        <w:rPr>
          <w:sz w:val="20"/>
          <w:szCs w:val="20"/>
          <w:color w:val="auto"/>
        </w:rPr>
      </w:pPr>
      <w:r>
        <w:rPr>
          <w:rFonts w:ascii="Times New Roman" w:cs="Times New Roman" w:eastAsia="Times New Roman" w:hAnsi="Times New Roman"/>
          <w:sz w:val="18"/>
          <w:szCs w:val="18"/>
          <w:color w:val="auto"/>
        </w:rPr>
        <w:t>Salary levels are typically addressed annually as part of our performance review process, as well as upon promotions, changes in job responsibilities, or in connection with the terms of initial employment. In connection with their May 2022 promotions, Mr. Gomez and Ms. Bennett received base salary increases of 45% and 20%, respectively, to align their base compensation with market practice and in recognition of the extensive experience, skill and knowledge they bring to their respective new positions as President of Westwood and President of Westwood Wealth Management.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Incentive Awards</w:t>
      </w:r>
    </w:p>
    <w:p>
      <w:pPr>
        <w:spacing w:after="0" w:line="119"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Compensation and Human Capital Committee sets performance objectives and subsequently approves annual cash incentive awards for each of our named executive officers. These awards are intended to focus the named executive officers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596" w:right="339" w:bottom="1440" w:gutter="0" w:footer="0" w:header="0"/>
        </w:sectPr>
      </w:pPr>
    </w:p>
    <w:bookmarkStart w:id="22" w:name="page23"/>
    <w:bookmarkEnd w:id="22"/>
    <w:p>
      <w:pPr>
        <w:ind w:right="100"/>
        <w:spacing w:after="0" w:line="282" w:lineRule="auto"/>
        <w:rPr>
          <w:sz w:val="20"/>
          <w:szCs w:val="20"/>
          <w:color w:val="auto"/>
        </w:rPr>
      </w:pPr>
      <w:r>
        <w:rPr>
          <w:rFonts w:ascii="Times New Roman" w:cs="Times New Roman" w:eastAsia="Times New Roman" w:hAnsi="Times New Roman"/>
          <w:sz w:val="18"/>
          <w:szCs w:val="18"/>
          <w:color w:val="auto"/>
        </w:rPr>
        <w:t>on achieving short-term business objectives and strategies and enable them to participate in our growth and profitability. The Committee reviews mid-year and end-of-year performance against objectives and determines annual incentive payouts.</w:t>
      </w:r>
    </w:p>
    <w:p>
      <w:pPr>
        <w:spacing w:after="0" w:line="54" w:lineRule="exact"/>
        <w:rPr>
          <w:sz w:val="20"/>
          <w:szCs w:val="20"/>
          <w:color w:val="auto"/>
        </w:rPr>
      </w:pPr>
    </w:p>
    <w:p>
      <w:pPr>
        <w:jc w:val="both"/>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Committee reviews the bonus pool for executive officers annually to ensure that, in its judgment, its levels reflect industry practices, that it will adequately fund potential bonuses and provide sufficient capacity to reward extraordinary performance. The amount and calculation of the bonus pool are subject to change at the Committee’s discretion.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annual target compensation for the CEO and our other named executive officers for 2022 follows: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Achievement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56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Name</w:t>
            </w:r>
          </w:p>
        </w:tc>
        <w:tc>
          <w:tcPr>
            <w:tcW w:w="2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Performance Objectives</w:t>
            </w: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w:t>
            </w:r>
          </w:p>
        </w:tc>
        <w:tc>
          <w:tcPr>
            <w:tcW w:w="1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355"/>
        </w:trPr>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Financial Goal: </w:t>
            </w:r>
            <w:r>
              <w:rPr>
                <w:rFonts w:ascii="Times New Roman" w:cs="Times New Roman" w:eastAsia="Times New Roman" w:hAnsi="Times New Roman"/>
                <w:sz w:val="16"/>
                <w:szCs w:val="16"/>
                <w:color w:val="auto"/>
              </w:rPr>
              <w:t>Economic Earnings</w:t>
            </w:r>
          </w:p>
        </w:tc>
        <w:tc>
          <w:tcPr>
            <w:tcW w:w="10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3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$562,500</w:t>
            </w:r>
          </w:p>
        </w:tc>
        <w:tc>
          <w:tcPr>
            <w:tcW w:w="1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Missed Expectations</w:t>
            </w:r>
          </w:p>
        </w:tc>
        <w:tc>
          <w:tcPr>
            <w:tcW w:w="134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1380" w:type="dxa"/>
            <w:vAlign w:val="bottom"/>
            <w:gridSpan w:val="2"/>
            <w:vMerge w:val="continue"/>
            <w:shd w:val="clear" w:color="auto" w:fill="CCEEFF"/>
          </w:tcPr>
          <w:p>
            <w:pPr>
              <w:spacing w:after="0"/>
              <w:rPr>
                <w:sz w:val="14"/>
                <w:szCs w:val="14"/>
                <w:color w:val="auto"/>
              </w:rPr>
            </w:pPr>
          </w:p>
        </w:tc>
        <w:tc>
          <w:tcPr>
            <w:tcW w:w="1280" w:type="dxa"/>
            <w:vAlign w:val="bottom"/>
            <w:vMerge w:val="continue"/>
            <w:shd w:val="clear" w:color="auto" w:fill="CCEEFF"/>
          </w:tcPr>
          <w:p>
            <w:pPr>
              <w:spacing w:after="0"/>
              <w:rPr>
                <w:sz w:val="14"/>
                <w:szCs w:val="14"/>
                <w:color w:val="auto"/>
              </w:rPr>
            </w:pPr>
          </w:p>
        </w:tc>
        <w:tc>
          <w:tcPr>
            <w:tcW w:w="1840" w:type="dxa"/>
            <w:vAlign w:val="bottom"/>
            <w:vMerge w:val="continue"/>
            <w:shd w:val="clear" w:color="auto" w:fill="CCEEFF"/>
          </w:tcPr>
          <w:p>
            <w:pPr>
              <w:spacing w:after="0"/>
              <w:rPr>
                <w:sz w:val="14"/>
                <w:szCs w:val="14"/>
                <w:color w:val="auto"/>
              </w:rPr>
            </w:pPr>
          </w:p>
        </w:tc>
        <w:tc>
          <w:tcPr>
            <w:tcW w:w="13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4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b w:val="1"/>
                <w:bCs w:val="1"/>
                <w:color w:val="auto"/>
              </w:rPr>
              <w:t xml:space="preserve">Strategic Goal: </w:t>
            </w:r>
            <w:r>
              <w:rPr>
                <w:rFonts w:ascii="Times New Roman" w:cs="Times New Roman" w:eastAsia="Times New Roman" w:hAnsi="Times New Roman"/>
                <w:sz w:val="16"/>
                <w:szCs w:val="16"/>
                <w:color w:val="auto"/>
              </w:rPr>
              <w:t>Close strategic</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4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780" w:type="dxa"/>
            <w:vAlign w:val="bottom"/>
            <w:vMerge w:val="restart"/>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acquisition; retain clients &amp; personnel;</w:t>
            </w: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c>
          <w:tcPr>
            <w:tcW w:w="1840" w:type="dxa"/>
            <w:vAlign w:val="bottom"/>
            <w:shd w:val="clear" w:color="auto" w:fill="CCEEFF"/>
          </w:tcPr>
          <w:p>
            <w:pPr>
              <w:spacing w:after="0"/>
              <w:rPr>
                <w:sz w:val="8"/>
                <w:szCs w:val="8"/>
                <w:color w:val="auto"/>
              </w:rPr>
            </w:pPr>
          </w:p>
        </w:tc>
        <w:tc>
          <w:tcPr>
            <w:tcW w:w="1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78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84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develop new products and services;</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$187,500</w:t>
            </w:r>
          </w:p>
        </w:tc>
        <w:tc>
          <w:tcPr>
            <w:tcW w:w="1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Exceeded Expectations</w:t>
            </w:r>
          </w:p>
        </w:tc>
        <w:tc>
          <w:tcPr>
            <w:tcW w:w="1340" w:type="dxa"/>
            <w:vAlign w:val="bottom"/>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$281,250</w:t>
            </w:r>
          </w:p>
        </w:tc>
        <w:tc>
          <w:tcPr>
            <w:tcW w:w="0" w:type="dxa"/>
            <w:vAlign w:val="bottom"/>
          </w:tcPr>
          <w:p>
            <w:pPr>
              <w:spacing w:after="0"/>
              <w:rPr>
                <w:sz w:val="1"/>
                <w:szCs w:val="1"/>
                <w:color w:val="auto"/>
              </w:rPr>
            </w:pPr>
          </w:p>
        </w:tc>
      </w:tr>
      <w:tr>
        <w:trPr>
          <w:trHeight w:val="203"/>
        </w:trPr>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implement major reorganization</w:t>
            </w:r>
          </w:p>
        </w:tc>
        <w:tc>
          <w:tcPr>
            <w:tcW w:w="10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840" w:type="dxa"/>
            <w:vAlign w:val="bottom"/>
            <w:vMerge w:val="continue"/>
            <w:shd w:val="clear" w:color="auto" w:fill="CCEEFF"/>
          </w:tcPr>
          <w:p>
            <w:pPr>
              <w:spacing w:after="0"/>
              <w:rPr>
                <w:sz w:val="17"/>
                <w:szCs w:val="17"/>
                <w:color w:val="auto"/>
              </w:rPr>
            </w:pPr>
          </w:p>
        </w:tc>
        <w:tc>
          <w:tcPr>
            <w:tcW w:w="13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Department goals</w:t>
            </w:r>
          </w:p>
        </w:tc>
        <w:tc>
          <w:tcPr>
            <w:tcW w:w="10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$225,000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Met Expectations</w:t>
            </w:r>
          </w:p>
        </w:tc>
        <w:tc>
          <w:tcPr>
            <w:tcW w:w="1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$225,000</w:t>
            </w:r>
          </w:p>
        </w:tc>
        <w:tc>
          <w:tcPr>
            <w:tcW w:w="0" w:type="dxa"/>
            <w:vAlign w:val="bottom"/>
          </w:tcPr>
          <w:p>
            <w:pPr>
              <w:spacing w:after="0"/>
              <w:rPr>
                <w:sz w:val="1"/>
                <w:szCs w:val="1"/>
                <w:color w:val="auto"/>
              </w:rPr>
            </w:pPr>
          </w:p>
        </w:tc>
      </w:tr>
      <w:tr>
        <w:trPr>
          <w:trHeight w:val="214"/>
        </w:trPr>
        <w:tc>
          <w:tcPr>
            <w:tcW w:w="15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strategic goals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Exceeded Expectations</w:t>
            </w:r>
          </w:p>
        </w:tc>
        <w:tc>
          <w:tcPr>
            <w:tcW w:w="1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$37,500</w:t>
            </w:r>
          </w:p>
        </w:tc>
        <w:tc>
          <w:tcPr>
            <w:tcW w:w="0" w:type="dxa"/>
            <w:vAlign w:val="bottom"/>
          </w:tcPr>
          <w:p>
            <w:pPr>
              <w:spacing w:after="0"/>
              <w:rPr>
                <w:sz w:val="1"/>
                <w:szCs w:val="1"/>
                <w:color w:val="auto"/>
              </w:rPr>
            </w:pPr>
          </w:p>
        </w:tc>
      </w:tr>
      <w:tr>
        <w:trPr>
          <w:trHeight w:val="216"/>
        </w:trPr>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financial results</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Missed Expectations</w:t>
            </w:r>
          </w:p>
        </w:tc>
        <w:tc>
          <w:tcPr>
            <w:tcW w:w="1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w w:val="99"/>
              </w:rPr>
              <w:t>$0</w:t>
            </w:r>
          </w:p>
        </w:tc>
        <w:tc>
          <w:tcPr>
            <w:tcW w:w="0" w:type="dxa"/>
            <w:vAlign w:val="bottom"/>
          </w:tcPr>
          <w:p>
            <w:pPr>
              <w:spacing w:after="0"/>
              <w:rPr>
                <w:sz w:val="1"/>
                <w:szCs w:val="1"/>
                <w:color w:val="auto"/>
              </w:rPr>
            </w:pPr>
          </w:p>
        </w:tc>
      </w:tr>
      <w:tr>
        <w:trPr>
          <w:trHeight w:val="60"/>
        </w:trPr>
        <w:tc>
          <w:tcPr>
            <w:tcW w:w="1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Wealth Management Revenue Share:</w:t>
            </w:r>
          </w:p>
        </w:tc>
        <w:tc>
          <w:tcPr>
            <w:tcW w:w="1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Partially Met Expectations</w:t>
            </w: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Leah Bennett</w:t>
            </w:r>
          </w:p>
        </w:tc>
        <w:tc>
          <w:tcPr>
            <w:tcW w:w="100" w:type="dxa"/>
            <w:vAlign w:val="bottom"/>
            <w:shd w:val="clear" w:color="auto" w:fill="CCEEFF"/>
          </w:tcPr>
          <w:p>
            <w:pPr>
              <w:spacing w:after="0"/>
              <w:rPr>
                <w:sz w:val="16"/>
                <w:szCs w:val="16"/>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 new client AUM growth; AUM</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 of Net</w:t>
            </w:r>
          </w:p>
        </w:tc>
        <w:tc>
          <w:tcPr>
            <w:tcW w:w="1280" w:type="dxa"/>
            <w:vAlign w:val="bottom"/>
            <w:shd w:val="clear" w:color="auto" w:fill="CCEEFF"/>
          </w:tcPr>
          <w:p>
            <w:pPr>
              <w:spacing w:after="0"/>
              <w:rPr>
                <w:sz w:val="16"/>
                <w:szCs w:val="16"/>
                <w:color w:val="auto"/>
              </w:rPr>
            </w:pPr>
          </w:p>
        </w:tc>
        <w:tc>
          <w:tcPr>
            <w:tcW w:w="1840" w:type="dxa"/>
            <w:vAlign w:val="bottom"/>
            <w:vMerge w:val="continue"/>
            <w:shd w:val="clear" w:color="auto" w:fill="CCEEFF"/>
          </w:tcPr>
          <w:p>
            <w:pPr>
              <w:spacing w:after="0"/>
              <w:rPr>
                <w:sz w:val="16"/>
                <w:szCs w:val="16"/>
                <w:color w:val="auto"/>
              </w:rPr>
            </w:pPr>
          </w:p>
        </w:tc>
        <w:tc>
          <w:tcPr>
            <w:tcW w:w="13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$100,000</w:t>
            </w:r>
          </w:p>
        </w:tc>
        <w:tc>
          <w:tcPr>
            <w:tcW w:w="0" w:type="dxa"/>
            <w:vAlign w:val="bottom"/>
          </w:tcPr>
          <w:p>
            <w:pPr>
              <w:spacing w:after="0"/>
              <w:rPr>
                <w:sz w:val="1"/>
                <w:szCs w:val="1"/>
                <w:color w:val="auto"/>
              </w:rPr>
            </w:pPr>
          </w:p>
        </w:tc>
      </w:tr>
      <w:tr>
        <w:trPr>
          <w:trHeight w:val="210"/>
        </w:trPr>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retention; team morale; expense control</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Revenue</w:t>
            </w:r>
          </w:p>
        </w:tc>
        <w:tc>
          <w:tcPr>
            <w:tcW w:w="12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4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7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00" w:type="dxa"/>
            <w:vAlign w:val="bottom"/>
            <w:vMerge w:val="continue"/>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8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jc w:val="both"/>
        <w:ind w:left="320" w:right="20" w:hanging="485"/>
        <w:spacing w:after="0" w:line="261" w:lineRule="auto"/>
        <w:tabs>
          <w:tab w:leader="none" w:pos="300" w:val="left"/>
        </w:tabs>
        <w:rPr>
          <w:sz w:val="20"/>
          <w:szCs w:val="20"/>
          <w:color w:val="auto"/>
        </w:rPr>
      </w:pPr>
      <w:r>
        <w:rPr>
          <w:rFonts w:ascii="Times New Roman" w:cs="Times New Roman" w:eastAsia="Times New Roman" w:hAnsi="Times New Roman"/>
          <w:sz w:val="14"/>
          <w:szCs w:val="14"/>
          <w:color w:val="auto"/>
        </w:rPr>
        <w:t>(1)</w:t>
        <w:tab/>
        <w:t>Ms. Bennett’s incentive compensation is based upon the Wealth Revenue Share Plan which generates a pool for the entire Wealth team. The percentage shown is maximum percent payout for the plan.</w:t>
      </w: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tab/>
        <w:t>Mr. Gomez’s achievement reflects what he earned with his objectives. However, due to the decrease in bonus pool, senior leaders of the Company received reduced incentive.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Equity Awards</w:t>
      </w:r>
    </w:p>
    <w:p>
      <w:pPr>
        <w:spacing w:after="0" w:line="119" w:lineRule="exact"/>
        <w:rPr>
          <w:sz w:val="20"/>
          <w:szCs w:val="20"/>
          <w:color w:val="auto"/>
        </w:rPr>
      </w:pPr>
    </w:p>
    <w:p>
      <w:pPr>
        <w:ind w:right="340" w:firstLine="405"/>
        <w:spacing w:after="0" w:line="261" w:lineRule="auto"/>
        <w:rPr>
          <w:sz w:val="20"/>
          <w:szCs w:val="20"/>
          <w:color w:val="auto"/>
        </w:rPr>
      </w:pPr>
      <w:r>
        <w:rPr>
          <w:rFonts w:ascii="Times New Roman" w:cs="Times New Roman" w:eastAsia="Times New Roman" w:hAnsi="Times New Roman"/>
          <w:sz w:val="18"/>
          <w:szCs w:val="18"/>
          <w:color w:val="auto"/>
        </w:rPr>
        <w:t>Each year, the Compensation and Human Capital Committee determines long-term equity awards for our named executive officers under the Westwood Holdings Group, Inc. Stock Incentive Plan (the "Stock Incentive Plan"). These awards are intended to attract, retain and motivate our named executive officers and focus them on achieving short- and long-term performance goals and financial results. The Committee also performs periodic benchmarking against peers.</w:t>
      </w:r>
    </w:p>
    <w:p>
      <w:pPr>
        <w:spacing w:after="0" w:line="72"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Stock Incentive Plan authorizes several types of equity awards, however, the Compensation and Human Capital Committee awarded only time-based stock awards to named executive officers in 2022 for 2021 performance.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Dividends on restricted stock awards are accrued and paid when underlying restricted shares vest. Accrued dividends on forfeited shares are not paid.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shares may not be sold, transferred, or pledged during the restricted period.</w:t>
      </w:r>
    </w:p>
    <w:p>
      <w:pPr>
        <w:spacing w:after="0" w:line="9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In 2022, the vesting schedule for grants approved at the regular Compensation and Human Capital Committee meeting held on February 8, 2022 and issued on February 23, 2022 were as follows:</w:t>
      </w:r>
    </w:p>
    <w:p>
      <w:pPr>
        <w:spacing w:after="0" w:line="54" w:lineRule="exact"/>
        <w:rPr>
          <w:sz w:val="20"/>
          <w:szCs w:val="20"/>
          <w:color w:val="auto"/>
        </w:rPr>
      </w:pPr>
    </w:p>
    <w:p>
      <w:pPr>
        <w:ind w:left="1300" w:hanging="239"/>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of awards vest upon the first anniversary of the grant date;</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second anniversary of the grant date; and</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awards vest upon the third anniversary of the grant date.</w:t>
      </w:r>
    </w:p>
    <w:p>
      <w:pPr>
        <w:spacing w:after="0" w:line="117"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Restricted stock award amounts are determined as a component of total compensation for each executive and are designed to retain and motivate our employees and align them with Company performance. In February 2022, the Compensation and Human Capital Committee evaluated the following criteria regarding time-based restricted stock grants:</w:t>
      </w:r>
    </w:p>
    <w:p>
      <w:pPr>
        <w:spacing w:after="0" w:line="68" w:lineRule="exact"/>
        <w:rPr>
          <w:sz w:val="20"/>
          <w:szCs w:val="20"/>
          <w:color w:val="auto"/>
        </w:rPr>
      </w:pPr>
    </w:p>
    <w:p>
      <w:pPr>
        <w:ind w:left="1300" w:hanging="239"/>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company performance in 2021;</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accomplishments of individuals in 2021;</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data;</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Company dilution and share utilization;</w:t>
      </w:r>
    </w:p>
    <w:p>
      <w:pPr>
        <w:spacing w:after="0" w:line="117" w:lineRule="exact"/>
        <w:rPr>
          <w:rFonts w:ascii="Times New Roman" w:cs="Times New Roman" w:eastAsia="Times New Roman" w:hAnsi="Times New Roman"/>
          <w:sz w:val="18"/>
          <w:szCs w:val="18"/>
          <w:color w:val="auto"/>
        </w:rPr>
      </w:pPr>
    </w:p>
    <w:p>
      <w:pPr>
        <w:ind w:left="1300" w:hanging="239"/>
        <w:spacing w:after="0"/>
        <w:tabs>
          <w:tab w:leader="none" w:pos="13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stock price performance; and</w:t>
      </w:r>
    </w:p>
    <w:p>
      <w:pPr>
        <w:sectPr>
          <w:pgSz w:w="11900" w:h="16838" w:orient="portrait"/>
          <w:cols w:equalWidth="0" w:num="1">
            <w:col w:w="11240"/>
          </w:cols>
          <w:pgMar w:left="320" w:top="553" w:right="339" w:bottom="1440" w:gutter="0" w:footer="0" w:header="0"/>
        </w:sectPr>
      </w:pP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553" w:right="339" w:bottom="1440" w:gutter="0" w:footer="0" w:header="0"/>
          <w:type w:val="continuous"/>
        </w:sectPr>
      </w:pPr>
    </w:p>
    <w:bookmarkStart w:id="23" w:name="page24"/>
    <w:bookmarkEnd w:id="23"/>
    <w:p>
      <w:pPr>
        <w:ind w:left="1060"/>
        <w:spacing w:after="0"/>
        <w:tabs>
          <w:tab w:leader="none" w:pos="1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The size of historical award grants.</w:t>
      </w:r>
    </w:p>
    <w:p>
      <w:pPr>
        <w:spacing w:after="0" w:line="117" w:lineRule="exact"/>
        <w:rPr>
          <w:sz w:val="20"/>
          <w:szCs w:val="20"/>
          <w:color w:val="auto"/>
        </w:rPr>
      </w:pPr>
    </w:p>
    <w:p>
      <w:pPr>
        <w:ind w:right="120" w:firstLine="405"/>
        <w:spacing w:after="0" w:line="275" w:lineRule="auto"/>
        <w:rPr>
          <w:sz w:val="20"/>
          <w:szCs w:val="20"/>
          <w:color w:val="auto"/>
        </w:rPr>
      </w:pPr>
      <w:r>
        <w:rPr>
          <w:rFonts w:ascii="Times New Roman" w:cs="Times New Roman" w:eastAsia="Times New Roman" w:hAnsi="Times New Roman"/>
          <w:sz w:val="18"/>
          <w:szCs w:val="18"/>
          <w:color w:val="auto"/>
        </w:rPr>
        <w:t>The Compensation and Human Capital Committee determined the Restricted stock award amounts granted in 2022 based on the achievement of the performance goals in 2021 as described in the table below.</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1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7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Achievement</w:t>
            </w:r>
          </w:p>
        </w:tc>
        <w:tc>
          <w:tcPr>
            <w:tcW w:w="1040" w:type="dxa"/>
            <w:vAlign w:val="bottom"/>
          </w:tcPr>
          <w:p>
            <w:pPr>
              <w:spacing w:after="0"/>
              <w:rPr>
                <w:sz w:val="18"/>
                <w:szCs w:val="18"/>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620" w:type="dxa"/>
            <w:vAlign w:val="bottom"/>
          </w:tcPr>
          <w:p>
            <w:pPr>
              <w:ind w:left="540"/>
              <w:spacing w:after="0"/>
              <w:rPr>
                <w:sz w:val="20"/>
                <w:szCs w:val="20"/>
                <w:color w:val="auto"/>
              </w:rPr>
            </w:pPr>
            <w:r>
              <w:rPr>
                <w:rFonts w:ascii="Times New Roman" w:cs="Times New Roman" w:eastAsia="Times New Roman" w:hAnsi="Times New Roman"/>
                <w:sz w:val="16"/>
                <w:szCs w:val="16"/>
                <w:b w:val="1"/>
                <w:bCs w:val="1"/>
                <w:color w:val="auto"/>
              </w:rPr>
              <w:t>Performance Objectives</w:t>
            </w:r>
          </w:p>
        </w:tc>
        <w:tc>
          <w:tcPr>
            <w:tcW w:w="11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700" w:type="dxa"/>
            <w:vAlign w:val="bottom"/>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(2)</w:t>
            </w:r>
          </w:p>
        </w:tc>
        <w:tc>
          <w:tcPr>
            <w:tcW w:w="104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8"/>
              </w:rPr>
              <w:t>Incentive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6823710" cy="874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23710" cy="87439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Brian O. Casey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Fabian Gomez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942975" cy="514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4297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Leah Bennett</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Financial Goal: </w:t>
      </w:r>
      <w:r>
        <w:rPr>
          <w:rFonts w:ascii="Times New Roman" w:cs="Times New Roman" w:eastAsia="Times New Roman" w:hAnsi="Times New Roman"/>
          <w:sz w:val="16"/>
          <w:szCs w:val="16"/>
          <w:color w:val="auto"/>
        </w:rPr>
        <w:t>Earnings before taxes</w:t>
      </w:r>
    </w:p>
    <w:p>
      <w:pPr>
        <w:spacing w:after="0" w:line="100" w:lineRule="exact"/>
        <w:rPr>
          <w:sz w:val="20"/>
          <w:szCs w:val="20"/>
          <w:color w:val="auto"/>
        </w:rPr>
      </w:pPr>
    </w:p>
    <w:p>
      <w:pPr>
        <w:ind w:right="200"/>
        <w:spacing w:after="0" w:line="227" w:lineRule="auto"/>
        <w:rPr>
          <w:sz w:val="20"/>
          <w:szCs w:val="20"/>
          <w:color w:val="auto"/>
        </w:rPr>
      </w:pPr>
      <w:r>
        <w:rPr>
          <w:rFonts w:ascii="Times New Roman" w:cs="Times New Roman" w:eastAsia="Times New Roman" w:hAnsi="Times New Roman"/>
          <w:sz w:val="16"/>
          <w:szCs w:val="16"/>
          <w:b w:val="1"/>
          <w:bCs w:val="1"/>
          <w:color w:val="auto"/>
        </w:rPr>
        <w:t xml:space="preserve">Strategic Goal: </w:t>
      </w:r>
      <w:r>
        <w:rPr>
          <w:rFonts w:ascii="Times New Roman" w:cs="Times New Roman" w:eastAsia="Times New Roman" w:hAnsi="Times New Roman"/>
          <w:sz w:val="16"/>
          <w:szCs w:val="16"/>
          <w:color w:val="auto"/>
        </w:rPr>
        <w:t>Westwood Way;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 development; InvestCloud &amp; asset management project; cybersecurity</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Department goals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strategic goals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55880</wp:posOffset>
            </wp:positionV>
            <wp:extent cx="1748790" cy="514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48790" cy="514350"/>
                    </a:xfrm>
                    <a:prstGeom prst="rect">
                      <a:avLst/>
                    </a:prstGeom>
                    <a:noFill/>
                  </pic:spPr>
                </pic:pic>
              </a:graphicData>
            </a:graphic>
          </wp:anchor>
        </w:drawing>
      </w:r>
    </w:p>
    <w:p>
      <w:pPr>
        <w:spacing w:after="0" w:line="3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6"/>
          <w:szCs w:val="16"/>
          <w:b w:val="1"/>
          <w:bCs w:val="1"/>
          <w:color w:val="auto"/>
        </w:rPr>
        <w:t xml:space="preserve">Wealth Management Revenue Share: </w:t>
      </w:r>
      <w:r>
        <w:rPr>
          <w:rFonts w:ascii="Times New Roman" w:cs="Times New Roman" w:eastAsia="Times New Roman" w:hAnsi="Times New Roman"/>
          <w:sz w:val="16"/>
          <w:szCs w:val="16"/>
          <w:color w:val="auto"/>
        </w:rPr>
        <w:t>Margin; new client AUM growth; AUM retention; team morale; expense control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4"/>
        </w:trPr>
        <w:tc>
          <w:tcPr>
            <w:tcW w:w="8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32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150%</w:t>
            </w: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$125,000</w:t>
            </w:r>
          </w:p>
        </w:tc>
        <w:tc>
          <w:tcPr>
            <w:tcW w:w="1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Exceeded Expectations</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$187,500</w:t>
            </w:r>
          </w:p>
        </w:tc>
        <w:tc>
          <w:tcPr>
            <w:tcW w:w="0" w:type="dxa"/>
            <w:vAlign w:val="bottom"/>
          </w:tcPr>
          <w:p>
            <w:pPr>
              <w:spacing w:after="0"/>
              <w:rPr>
                <w:sz w:val="1"/>
                <w:szCs w:val="1"/>
                <w:color w:val="auto"/>
              </w:rPr>
            </w:pPr>
          </w:p>
        </w:tc>
      </w:tr>
      <w:tr>
        <w:trPr>
          <w:trHeight w:val="413"/>
        </w:trPr>
        <w:tc>
          <w:tcPr>
            <w:tcW w:w="80" w:type="dxa"/>
            <w:vAlign w:val="bottom"/>
          </w:tcPr>
          <w:p>
            <w:pPr>
              <w:spacing w:after="0"/>
              <w:rPr>
                <w:sz w:val="24"/>
                <w:szCs w:val="24"/>
                <w:color w:val="auto"/>
              </w:rPr>
            </w:pPr>
          </w:p>
        </w:tc>
        <w:tc>
          <w:tcPr>
            <w:tcW w:w="920" w:type="dxa"/>
            <w:vAlign w:val="bottom"/>
            <w:vMerge w:val="continue"/>
            <w:shd w:val="clear" w:color="auto" w:fill="CCEEFF"/>
          </w:tcPr>
          <w:p>
            <w:pPr>
              <w:spacing w:after="0"/>
              <w:rPr>
                <w:sz w:val="24"/>
                <w:szCs w:val="24"/>
                <w:color w:val="auto"/>
              </w:rPr>
            </w:pPr>
          </w:p>
        </w:tc>
        <w:tc>
          <w:tcPr>
            <w:tcW w:w="1320" w:type="dxa"/>
            <w:vAlign w:val="bottom"/>
            <w:gridSpan w:val="2"/>
            <w:vMerge w:val="continue"/>
            <w:shd w:val="clear" w:color="auto" w:fill="CCEEFF"/>
          </w:tcPr>
          <w:p>
            <w:pPr>
              <w:spacing w:after="0"/>
              <w:rPr>
                <w:sz w:val="24"/>
                <w:szCs w:val="24"/>
                <w:color w:val="auto"/>
              </w:rPr>
            </w:pPr>
          </w:p>
        </w:tc>
        <w:tc>
          <w:tcPr>
            <w:tcW w:w="1140" w:type="dxa"/>
            <w:vAlign w:val="bottom"/>
            <w:vMerge w:val="continue"/>
            <w:shd w:val="clear" w:color="auto" w:fill="CCEEFF"/>
          </w:tcPr>
          <w:p>
            <w:pPr>
              <w:spacing w:after="0"/>
              <w:rPr>
                <w:sz w:val="24"/>
                <w:szCs w:val="24"/>
                <w:color w:val="auto"/>
              </w:rPr>
            </w:pPr>
          </w:p>
        </w:tc>
        <w:tc>
          <w:tcPr>
            <w:tcW w:w="1980" w:type="dxa"/>
            <w:vAlign w:val="bottom"/>
            <w:vMerge w:val="continue"/>
            <w:shd w:val="clear" w:color="auto" w:fill="CCEEFF"/>
          </w:tcPr>
          <w:p>
            <w:pPr>
              <w:spacing w:after="0"/>
              <w:rPr>
                <w:sz w:val="24"/>
                <w:szCs w:val="24"/>
                <w:color w:val="auto"/>
              </w:rPr>
            </w:pPr>
          </w:p>
        </w:tc>
        <w:tc>
          <w:tcPr>
            <w:tcW w:w="1160" w:type="dxa"/>
            <w:vAlign w:val="bottom"/>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80" w:type="dxa"/>
            <w:vAlign w:val="bottom"/>
          </w:tcPr>
          <w:p>
            <w:pPr>
              <w:spacing w:after="0"/>
              <w:rPr>
                <w:sz w:val="24"/>
                <w:szCs w:val="2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$125,000</w:t>
            </w:r>
          </w:p>
        </w:tc>
        <w:tc>
          <w:tcPr>
            <w:tcW w:w="1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Met Expectations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$125,000</w:t>
            </w:r>
          </w:p>
        </w:tc>
        <w:tc>
          <w:tcPr>
            <w:tcW w:w="0" w:type="dxa"/>
            <w:vAlign w:val="bottom"/>
          </w:tcPr>
          <w:p>
            <w:pPr>
              <w:spacing w:after="0"/>
              <w:rPr>
                <w:sz w:val="1"/>
                <w:szCs w:val="1"/>
                <w:color w:val="auto"/>
              </w:rPr>
            </w:pPr>
          </w:p>
        </w:tc>
      </w:tr>
      <w:tr>
        <w:trPr>
          <w:trHeight w:val="168"/>
        </w:trPr>
        <w:tc>
          <w:tcPr>
            <w:tcW w:w="80" w:type="dxa"/>
            <w:vAlign w:val="bottom"/>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$187,500</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Met Expectations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$225,000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100%</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$31,250</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Met Expectations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$31,250</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12.5%</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125%</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$31,250</w:t>
            </w:r>
          </w:p>
        </w:tc>
        <w:tc>
          <w:tcPr>
            <w:tcW w:w="19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Exceeded Expectations</w:t>
            </w: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$39,063</w:t>
            </w:r>
          </w:p>
        </w:tc>
        <w:tc>
          <w:tcPr>
            <w:tcW w:w="0" w:type="dxa"/>
            <w:vAlign w:val="bottom"/>
          </w:tcPr>
          <w:p>
            <w:pPr>
              <w:spacing w:after="0"/>
              <w:rPr>
                <w:sz w:val="1"/>
                <w:szCs w:val="1"/>
                <w:color w:val="auto"/>
              </w:rPr>
            </w:pPr>
          </w:p>
        </w:tc>
      </w:tr>
      <w:tr>
        <w:trPr>
          <w:trHeight w:val="60"/>
        </w:trPr>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 of Net</w:t>
            </w:r>
          </w:p>
        </w:tc>
        <w:tc>
          <w:tcPr>
            <w:tcW w:w="1140" w:type="dxa"/>
            <w:vAlign w:val="bottom"/>
            <w:shd w:val="clear" w:color="auto" w:fill="CCEEFF"/>
          </w:tcPr>
          <w:p>
            <w:pPr>
              <w:spacing w:after="0"/>
              <w:rPr>
                <w:sz w:val="23"/>
                <w:szCs w:val="23"/>
                <w:color w:val="auto"/>
              </w:rPr>
            </w:pPr>
          </w:p>
        </w:tc>
        <w:tc>
          <w:tcPr>
            <w:tcW w:w="19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Met Expectations</w:t>
            </w:r>
          </w:p>
        </w:tc>
        <w:tc>
          <w:tcPr>
            <w:tcW w:w="11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$235,000</w:t>
            </w:r>
          </w:p>
        </w:tc>
        <w:tc>
          <w:tcPr>
            <w:tcW w:w="0" w:type="dxa"/>
            <w:vAlign w:val="bottom"/>
          </w:tcPr>
          <w:p>
            <w:pPr>
              <w:spacing w:after="0"/>
              <w:rPr>
                <w:sz w:val="1"/>
                <w:szCs w:val="1"/>
                <w:color w:val="auto"/>
              </w:rPr>
            </w:pPr>
          </w:p>
        </w:tc>
      </w:tr>
      <w:tr>
        <w:trPr>
          <w:trHeight w:val="264"/>
        </w:trPr>
        <w:tc>
          <w:tcPr>
            <w:tcW w:w="80" w:type="dxa"/>
            <w:vAlign w:val="bottom"/>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vMerge w:val="continue"/>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980" w:type="dxa"/>
            <w:vAlign w:val="bottom"/>
            <w:vMerge w:val="continue"/>
            <w:shd w:val="clear" w:color="auto" w:fill="CCEEFF"/>
          </w:tcPr>
          <w:p>
            <w:pPr>
              <w:spacing w:after="0"/>
              <w:rPr>
                <w:sz w:val="22"/>
                <w:szCs w:val="22"/>
                <w:color w:val="auto"/>
              </w:rPr>
            </w:pPr>
          </w:p>
        </w:tc>
        <w:tc>
          <w:tcPr>
            <w:tcW w:w="1160" w:type="dxa"/>
            <w:vAlign w:val="bottom"/>
            <w:vMerge w:val="continue"/>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0" w:type="dxa"/>
            <w:vAlign w:val="bottom"/>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Revenue</w:t>
            </w:r>
          </w:p>
        </w:tc>
        <w:tc>
          <w:tcPr>
            <w:tcW w:w="1140" w:type="dxa"/>
            <w:vAlign w:val="bottom"/>
            <w:shd w:val="clear" w:color="auto" w:fill="CCEEFF"/>
          </w:tcPr>
          <w:p>
            <w:pPr>
              <w:spacing w:after="0"/>
              <w:rPr>
                <w:sz w:val="24"/>
                <w:szCs w:val="24"/>
                <w:color w:val="auto"/>
              </w:rPr>
            </w:pPr>
          </w:p>
        </w:tc>
        <w:tc>
          <w:tcPr>
            <w:tcW w:w="19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ectPr>
          <w:pgSz w:w="11900" w:h="16838" w:orient="portrait"/>
          <w:cols w:equalWidth="0" w:num="3">
            <w:col w:w="1020" w:space="500"/>
            <w:col w:w="2600" w:space="40"/>
            <w:col w:w="7020"/>
          </w:cols>
          <w:pgMar w:left="320" w:top="553" w:right="399" w:bottom="1440" w:gutter="0" w:footer="0" w:header="0"/>
          <w:type w:val="continuous"/>
        </w:sectPr>
      </w:pPr>
    </w:p>
    <w:p>
      <w:pPr>
        <w:ind w:left="500" w:right="60" w:hanging="492"/>
        <w:spacing w:after="0" w:line="253" w:lineRule="auto"/>
        <w:tabs>
          <w:tab w:leader="none" w:pos="326"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2021 performance year, Ms. Bennett’s equity compensation granted in 2022 was based upon the Houston Wealth Revenue Share Plan which generated a pool for the entire Houston team. The percentages shown are maximum percent payout for the plan.</w:t>
      </w:r>
    </w:p>
    <w:p>
      <w:pPr>
        <w:ind w:left="320" w:hanging="312"/>
        <w:spacing w:after="0"/>
        <w:tabs>
          <w:tab w:leader="none" w:pos="3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incentive shown was granted on February 23, 2022 for the 2021 performance year.</w:t>
      </w:r>
    </w:p>
    <w:p>
      <w:pPr>
        <w:spacing w:after="0" w:line="219"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Compensation and Human Capital Committee determined the Restricted stock award amounts granted in 2023 based on the achievement of the performance goals in 2022 as described in the table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Earnings</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Annual</w:t>
            </w:r>
          </w:p>
        </w:tc>
        <w:tc>
          <w:tcPr>
            <w:tcW w:w="1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Potential</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Bonus</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Achievement</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6"/>
                <w:szCs w:val="16"/>
                <w:b w:val="1"/>
                <w:bCs w:val="1"/>
                <w:color w:val="auto"/>
              </w:rPr>
              <w:t>Performance Objectives</w:t>
            </w: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320" w:type="dxa"/>
            <w:vAlign w:val="bottom"/>
            <w:tcBorders>
              <w:bottom w:val="single" w:sz="8" w:color="auto"/>
            </w:tcBorders>
            <w:gridSpan w:val="2"/>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Target</w:t>
            </w: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Incentive</w:t>
            </w:r>
          </w:p>
        </w:tc>
        <w:tc>
          <w:tcPr>
            <w:tcW w:w="0" w:type="dxa"/>
            <w:vAlign w:val="bottom"/>
          </w:tcPr>
          <w:p>
            <w:pPr>
              <w:spacing w:after="0"/>
              <w:rPr>
                <w:sz w:val="1"/>
                <w:szCs w:val="1"/>
                <w:color w:val="auto"/>
              </w:rPr>
            </w:pPr>
          </w:p>
        </w:tc>
      </w:tr>
      <w:tr>
        <w:trPr>
          <w:trHeight w:val="402"/>
        </w:trPr>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Financial Goal: </w:t>
            </w:r>
            <w:r>
              <w:rPr>
                <w:rFonts w:ascii="Times New Roman" w:cs="Times New Roman" w:eastAsia="Times New Roman" w:hAnsi="Times New Roman"/>
                <w:sz w:val="16"/>
                <w:szCs w:val="16"/>
                <w:color w:val="auto"/>
              </w:rPr>
              <w:t>AUM, expense control</w:t>
            </w:r>
          </w:p>
        </w:tc>
        <w:tc>
          <w:tcPr>
            <w:tcW w:w="80" w:type="dxa"/>
            <w:vAlign w:val="bottom"/>
            <w:shd w:val="clear" w:color="auto" w:fill="CCEEFF"/>
          </w:tcPr>
          <w:p>
            <w:pPr>
              <w:spacing w:after="0"/>
              <w:rPr>
                <w:sz w:val="24"/>
                <w:szCs w:val="24"/>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320" w:type="dxa"/>
            <w:vAlign w:val="bottom"/>
            <w:gridSpan w:val="2"/>
            <w:vMerge w:val="restart"/>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150%</w:t>
            </w:r>
          </w:p>
        </w:tc>
        <w:tc>
          <w:tcPr>
            <w:tcW w:w="12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$125,000</w:t>
            </w: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Met Threshold</w:t>
            </w:r>
          </w:p>
        </w:tc>
        <w:tc>
          <w:tcPr>
            <w:tcW w:w="80" w:type="dxa"/>
            <w:vAlign w:val="bottom"/>
            <w:shd w:val="clear" w:color="auto" w:fill="CCEEFF"/>
          </w:tcPr>
          <w:p>
            <w:pPr>
              <w:spacing w:after="0"/>
              <w:rPr>
                <w:sz w:val="24"/>
                <w:szCs w:val="24"/>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$62,500</w:t>
            </w: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&amp; other financial goals</w:t>
            </w: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Expectations</w:t>
            </w:r>
          </w:p>
        </w:tc>
        <w:tc>
          <w:tcPr>
            <w:tcW w:w="8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100" w:type="dxa"/>
            <w:vAlign w:val="bottom"/>
            <w:shd w:val="clear" w:color="auto" w:fill="CCEEFF"/>
          </w:tcPr>
          <w:p>
            <w:pPr>
              <w:spacing w:after="0"/>
              <w:rPr>
                <w:sz w:val="24"/>
                <w:szCs w:val="24"/>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Strategic Goal: </w:t>
            </w:r>
            <w:r>
              <w:rPr>
                <w:rFonts w:ascii="Times New Roman" w:cs="Times New Roman" w:eastAsia="Times New Roman" w:hAnsi="Times New Roman"/>
                <w:sz w:val="16"/>
                <w:szCs w:val="16"/>
                <w:color w:val="auto"/>
              </w:rPr>
              <w:t>Close strategic</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7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acquisition; retain clients &amp; personnel;</w:t>
            </w: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develop new products and services;</w:t>
            </w:r>
          </w:p>
        </w:tc>
        <w:tc>
          <w:tcPr>
            <w:tcW w:w="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$375,000</w:t>
            </w: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Exceeded Expectations</w:t>
            </w:r>
          </w:p>
        </w:tc>
        <w:tc>
          <w:tcPr>
            <w:tcW w:w="8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$562,500</w:t>
            </w:r>
          </w:p>
        </w:tc>
        <w:tc>
          <w:tcPr>
            <w:tcW w:w="0" w:type="dxa"/>
            <w:vAlign w:val="bottom"/>
          </w:tcPr>
          <w:p>
            <w:pPr>
              <w:spacing w:after="0"/>
              <w:rPr>
                <w:sz w:val="1"/>
                <w:szCs w:val="1"/>
                <w:color w:val="auto"/>
              </w:rPr>
            </w:pPr>
          </w:p>
        </w:tc>
      </w:tr>
      <w:tr>
        <w:trPr>
          <w:trHeight w:val="102"/>
        </w:trPr>
        <w:tc>
          <w:tcPr>
            <w:tcW w:w="14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implement major reorganization</w:t>
            </w:r>
          </w:p>
        </w:tc>
        <w:tc>
          <w:tcPr>
            <w:tcW w:w="80" w:type="dxa"/>
            <w:vAlign w:val="bottom"/>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2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140" w:type="dxa"/>
            <w:vAlign w:val="bottom"/>
            <w:vMerge w:val="continue"/>
            <w:shd w:val="clear" w:color="auto" w:fill="CCEEFF"/>
          </w:tcPr>
          <w:p>
            <w:pPr>
              <w:spacing w:after="0"/>
              <w:rPr>
                <w:sz w:val="8"/>
                <w:szCs w:val="8"/>
                <w:color w:val="auto"/>
              </w:rPr>
            </w:pPr>
          </w:p>
        </w:tc>
        <w:tc>
          <w:tcPr>
            <w:tcW w:w="178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4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Department goals</w:t>
            </w:r>
          </w:p>
        </w:tc>
        <w:tc>
          <w:tcPr>
            <w:tcW w:w="8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$225,000</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Met Expectations</w:t>
            </w:r>
          </w:p>
        </w:tc>
        <w:tc>
          <w:tcPr>
            <w:tcW w:w="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$225,000</w:t>
            </w:r>
          </w:p>
        </w:tc>
        <w:tc>
          <w:tcPr>
            <w:tcW w:w="0" w:type="dxa"/>
            <w:vAlign w:val="bottom"/>
          </w:tcPr>
          <w:p>
            <w:pPr>
              <w:spacing w:after="0"/>
              <w:rPr>
                <w:sz w:val="1"/>
                <w:szCs w:val="1"/>
                <w:color w:val="auto"/>
              </w:rPr>
            </w:pPr>
          </w:p>
        </w:tc>
      </w:tr>
      <w:tr>
        <w:trPr>
          <w:trHeight w:val="214"/>
        </w:trPr>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100" w:type="dxa"/>
            <w:vAlign w:val="bottom"/>
          </w:tcPr>
          <w:p>
            <w:pPr>
              <w:spacing w:after="0"/>
              <w:rPr>
                <w:sz w:val="18"/>
                <w:szCs w:val="18"/>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strategic goals</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12.5%</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100%</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Met Expectations</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$37,500</w:t>
            </w:r>
          </w:p>
        </w:tc>
        <w:tc>
          <w:tcPr>
            <w:tcW w:w="0" w:type="dxa"/>
            <w:vAlign w:val="bottom"/>
          </w:tcPr>
          <w:p>
            <w:pPr>
              <w:spacing w:after="0"/>
              <w:rPr>
                <w:sz w:val="1"/>
                <w:szCs w:val="1"/>
                <w:color w:val="auto"/>
              </w:rPr>
            </w:pPr>
          </w:p>
        </w:tc>
      </w:tr>
      <w:tr>
        <w:trPr>
          <w:trHeight w:val="222"/>
        </w:trPr>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financial results</w:t>
            </w:r>
          </w:p>
        </w:tc>
        <w:tc>
          <w:tcPr>
            <w:tcW w:w="10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12.5%</w:t>
            </w:r>
          </w:p>
        </w:tc>
        <w:tc>
          <w:tcPr>
            <w:tcW w:w="132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125%</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$37,500</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Met Threshold</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$28,125</w:t>
            </w:r>
          </w:p>
        </w:tc>
        <w:tc>
          <w:tcPr>
            <w:tcW w:w="0" w:type="dxa"/>
            <w:vAlign w:val="bottom"/>
          </w:tcPr>
          <w:p>
            <w:pPr>
              <w:spacing w:after="0"/>
              <w:rPr>
                <w:sz w:val="1"/>
                <w:szCs w:val="1"/>
                <w:color w:val="auto"/>
              </w:rPr>
            </w:pPr>
          </w:p>
        </w:tc>
      </w:tr>
      <w:tr>
        <w:trPr>
          <w:trHeight w:val="203"/>
        </w:trPr>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Expectations</w:t>
            </w: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Wealth Management Revenue Share:</w:t>
            </w:r>
          </w:p>
        </w:tc>
        <w:tc>
          <w:tcPr>
            <w:tcW w:w="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Partially Met Expectations</w:t>
            </w:r>
          </w:p>
        </w:tc>
        <w:tc>
          <w:tcPr>
            <w:tcW w:w="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Leah Bennett</w:t>
            </w:r>
          </w:p>
        </w:tc>
        <w:tc>
          <w:tcPr>
            <w:tcW w:w="100" w:type="dxa"/>
            <w:vAlign w:val="bottom"/>
            <w:shd w:val="clear" w:color="auto" w:fill="CCEEFF"/>
          </w:tcPr>
          <w:p>
            <w:pPr>
              <w:spacing w:after="0"/>
              <w:rPr>
                <w:sz w:val="16"/>
                <w:szCs w:val="16"/>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Margin; new client AUM growth; AUM</w:t>
            </w: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31% of Net</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$200,000</w:t>
            </w:r>
          </w:p>
        </w:tc>
        <w:tc>
          <w:tcPr>
            <w:tcW w:w="0" w:type="dxa"/>
            <w:vAlign w:val="bottom"/>
          </w:tcPr>
          <w:p>
            <w:pPr>
              <w:spacing w:after="0"/>
              <w:rPr>
                <w:sz w:val="1"/>
                <w:szCs w:val="1"/>
                <w:color w:val="auto"/>
              </w:rPr>
            </w:pPr>
          </w:p>
        </w:tc>
      </w:tr>
      <w:tr>
        <w:trPr>
          <w:trHeight w:val="210"/>
        </w:trPr>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retention; team morale; expense control</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Revenue</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1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500" w:hanging="492"/>
        <w:spacing w:after="0" w:line="253" w:lineRule="auto"/>
        <w:tabs>
          <w:tab w:leader="none" w:pos="326"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2022 performance year, Ms. Bennett’s equity compensation is based upon the Wealth Revenue Share Plan which generates a pool for the entire Wealth team. The percentages shown are maximum percentage payout for the plan.</w:t>
      </w:r>
    </w:p>
    <w:p>
      <w:pPr>
        <w:ind w:left="320" w:hanging="312"/>
        <w:spacing w:after="0"/>
        <w:tabs>
          <w:tab w:leader="none" w:pos="3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equity incentive shown was granted on February 23, 2023 for the 2022 performance year.</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Business Incentive Program</w:t>
      </w:r>
    </w:p>
    <w:p>
      <w:pPr>
        <w:spacing w:after="0" w:line="119"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Wealth Management employees are eligible to participate in the New Business Incentive Program, which is designed to incentivize new client relationships. When a new client is generated directly as a result of an employee’s efforts, we pay the employee 20% of the account’s fees received during the first year. If the employee refers the client to a Private Wealth Advisor eligible to establish the new client relationship, the 20% payout is split equally between the employee and the Advisor handling the relationship as a quarterly payment based on actual client fees.</w:t>
      </w:r>
    </w:p>
    <w:p>
      <w:pPr>
        <w:spacing w:after="0" w:line="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80"/>
          </w:cols>
          <w:pgMar w:left="320" w:top="553" w:right="399" w:bottom="1440" w:gutter="0" w:footer="0" w:header="0"/>
          <w:type w:val="continuous"/>
        </w:sectPr>
      </w:pPr>
    </w:p>
    <w:bookmarkStart w:id="24" w:name="page25"/>
    <w:bookmarkEnd w:id="24"/>
    <w:p>
      <w:pPr>
        <w:ind w:left="420"/>
        <w:spacing w:after="0"/>
        <w:rPr>
          <w:sz w:val="20"/>
          <w:szCs w:val="20"/>
          <w:color w:val="auto"/>
        </w:rPr>
      </w:pPr>
      <w:r>
        <w:rPr>
          <w:rFonts w:ascii="Times New Roman" w:cs="Times New Roman" w:eastAsia="Times New Roman" w:hAnsi="Times New Roman"/>
          <w:sz w:val="18"/>
          <w:szCs w:val="18"/>
          <w:u w:val="single" w:color="auto"/>
          <w:color w:val="auto"/>
        </w:rPr>
        <w:t>Other Benefits and Perquisites</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Employee Benefits</w:t>
      </w:r>
    </w:p>
    <w:p>
      <w:pPr>
        <w:spacing w:after="0" w:line="119"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We offer employee and post-retirement benefits to all full-time employees, including named executive officers, in order to provide them with financial support in the event of injury, illness or disability and to help them accumulate retirement savings on a tax-favored basis. Our employees are generally eligible to participate in benefit programs including medical, dental, vision, disability, life insurance, and health savings or flexible spending accounts. The cost of health insurance and savings plans is partially borne by the Company, including costs for named executive officers. We pay for disability insurance and a set amount of term life insurance for all employees.</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Savings Plan and Matching Contributions</w:t>
      </w:r>
    </w:p>
    <w:p>
      <w:pPr>
        <w:spacing w:after="0" w:line="119"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Under Westwood Holdings Group, Inc.’s Savings Plan (the "Savings Plan"), all U.S. employees, including named executive officers, are eligible to make 401(k) contributions subject to annual IRS limits. We fully match employee contributions up to 6% of their eligible compensation (subject to IRS limits). Employees are vested immediately in their 401(k) contributions as well as in the Company matching portion.</w:t>
      </w:r>
    </w:p>
    <w:p>
      <w:pPr>
        <w:spacing w:after="0" w:line="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Profit Sharing Contributions</w:t>
      </w:r>
    </w:p>
    <w:p>
      <w:pPr>
        <w:spacing w:after="0" w:line="119"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The Company’s Savings Plan authorizes us to make discretionary annual contributions to U.S. employees’ Savings Plan accounts based on our profitability and performance. The profit-sharing component of the Savings Plan is broad-based and all employees, including the named executive officers, are eligible for discretionary profit-sharing contributions. Profit sharing contributions are subject to a four-year vesting schedule based on an employee's years of service.</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did not make any profit-sharing contributions during 2022.</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did not provide significant perquisites to our named executive officers during 2022.</w:t>
      </w:r>
    </w:p>
    <w:p>
      <w:pPr>
        <w:spacing w:after="0" w:line="200" w:lineRule="exact"/>
        <w:rPr>
          <w:sz w:val="20"/>
          <w:szCs w:val="20"/>
          <w:color w:val="auto"/>
        </w:rPr>
      </w:pPr>
    </w:p>
    <w:p>
      <w:pPr>
        <w:spacing w:after="0" w:line="3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80"/>
          </w:cols>
          <w:pgMar w:left="320" w:top="66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Other Compensation Policies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has established stock ownership guidelines for the CEO and certain other executives requiring the following minimum holdings:</w:t>
      </w:r>
    </w:p>
    <w:p>
      <w:pPr>
        <w:spacing w:after="0" w:line="117"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holdings must equal 6x base salary;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Named executive officers and officers reporting directly to the CEO holdings must equal 3x base salary.</w:t>
      </w:r>
    </w:p>
    <w:p>
      <w:pPr>
        <w:spacing w:after="0" w:line="117" w:lineRule="exact"/>
        <w:rPr>
          <w:sz w:val="20"/>
          <w:szCs w:val="20"/>
          <w:color w:val="auto"/>
        </w:rPr>
      </w:pPr>
    </w:p>
    <w:p>
      <w:pPr>
        <w:ind w:right="260" w:firstLine="405"/>
        <w:spacing w:after="0" w:line="255" w:lineRule="auto"/>
        <w:rPr>
          <w:sz w:val="20"/>
          <w:szCs w:val="20"/>
          <w:color w:val="auto"/>
        </w:rPr>
      </w:pPr>
      <w:r>
        <w:rPr>
          <w:rFonts w:ascii="Times New Roman" w:cs="Times New Roman" w:eastAsia="Times New Roman" w:hAnsi="Times New Roman"/>
          <w:sz w:val="18"/>
          <w:szCs w:val="18"/>
          <w:color w:val="auto"/>
        </w:rPr>
        <w:t>Executives subject to stock ownership guidelines are required to hold 50% of net shares acquired through vesting of equity-based compensation programs until the minimum guideline level is met. In the event a decline in the price of the Company's common stock causes an executive’s holdings to fall below the applicable threshold, the executive will not be required to purchase additional shares but is required to hold 50% of net shares acquired through vesting of equity-based compensation programs until the threshold is regained. Compliance with stock ownership guidelines is evaluated periodically by our Board of Directors. With the decline in the price of the Company's stock over the last few years, the value of shares held by certain executives fell below the applicable thresholds. As of March 1, 2023, Mr. Casey was in compliance with the stock ownership holding requirement. All NEOs are in compliance by holding the required net vested shares until such time as the minimum is achieved.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Employment and Related Agreements</w:t>
      </w:r>
    </w:p>
    <w:p>
      <w:pPr>
        <w:spacing w:after="0" w:line="119"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believes that our Chief Executive Officer, Brian O. Casey, is critical to our future success due to his significant responsibilities and contributions to the ongoing day-to-day operation of the business, his involvement in marketing our products, his development and direction of strategic initiatives and corporate development, as well as his participation in the development of new products. Accordingly, in December 2015, the Committee entered into a new employment agreement with Mr. Casey, which auto-renewed for an additional one-year period on January 1, 2023 and is subject to potential automatic renewals for subsequent one-year periods.</w:t>
      </w:r>
    </w:p>
    <w:p>
      <w:pPr>
        <w:spacing w:after="0" w:line="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Mr. Casey's employment agreement broadly addresses the terms of his employment with the Company including, among other things, his duties, compensation and benefits, termination, and the effects of termination. In addition, the employment agreement includes non-solicitation covenants and non-competition covenants that apply in specified circumstances for a period of one year following the date of termination.</w:t>
      </w:r>
    </w:p>
    <w:p>
      <w:pPr>
        <w:spacing w:after="0" w:line="68" w:lineRule="exact"/>
        <w:rPr>
          <w:sz w:val="20"/>
          <w:szCs w:val="20"/>
          <w:color w:val="auto"/>
        </w:rPr>
      </w:pPr>
    </w:p>
    <w:p>
      <w:pPr>
        <w:ind w:firstLine="405"/>
        <w:spacing w:after="0" w:line="252" w:lineRule="auto"/>
        <w:rPr>
          <w:sz w:val="20"/>
          <w:szCs w:val="20"/>
          <w:color w:val="auto"/>
        </w:rPr>
      </w:pPr>
      <w:r>
        <w:rPr>
          <w:rFonts w:ascii="Times New Roman" w:cs="Times New Roman" w:eastAsia="Times New Roman" w:hAnsi="Times New Roman"/>
          <w:sz w:val="18"/>
          <w:szCs w:val="18"/>
          <w:color w:val="auto"/>
        </w:rPr>
        <w:t>There is no written employment agreement with Mr. Gomez however, in connection with his appointment as President on May 26, 2022, the Company and Mr. Gomez entered into a letter agreement (the “Gomez Letter Agreement”) and an Employee Confidentiality and Non-Compete Agreement (the “Gomez CNCA”). The Gomez Letter Agreement, which supersedes and replaces the severance agreement between the Company and Mr. Gomez dated February 9, 2018, provides for continued vesting of Mr. Gomez’s outstanding unvested restricted stock awards (time-based and performance-based) upon his involuntary termination of employment by the Company without “cause” (as defined in the Gomez Letter Agreement) or his voluntary termination of employment with the Company for “good reason” (as defined in the Gomez Letter Agreement), provided he (a) complies fully with all obligations under the Gomez Letter Agreement and the Gomez CNCA, and (b) executes and does not revoke a general release of all claims arising out of or related to his employment with the Company. The Gomez CNCA contains (a) customary confidentiality provisions, (b) a non-compete covenant that applies during Mr. Gomez’s employment and for 12 months thereafter and which restricts him from performing services for any person or entity in the United States that is or was a client of Westwood with respect to whom Mr. Gomez did business and/or had personal contact during his employment with Westwood, and (c) customary employee and client non-solicitation restrictive covenants that apply during Mr. Gomez’s employment and for 24 months thereafter. In addition, under the Gomez CNCA, Westwood can elect to restrict Mr. Gomez from competing against Westwood in any capacity for up to six months following his termination of employment in exchange for monthly salary continuation payments and monthly prorated bonus payments (based on the most recent annual cash bonus paid to Mr. Gomez before his termination).</w:t>
      </w:r>
    </w:p>
    <w:p>
      <w:pPr>
        <w:spacing w:after="0" w:line="89"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There is no written employment agreement with Ms. Bennett; however, in connection with her appointment as President, Westwood Wealth Management on May 26, 2022, the Company and Ms. Bennett entered into a letter agreement (the “Bennett Letter Agreement” and an Employee Confidentiality and Non-Compete Agreement (the “Bennett CNCA”). The Bennett Letter Agreement provides for continued vesting for Ms. Bennett’s outstanding unvested restricted stock awards (time-based and performance-based) upon her involuntary termination of employment by the Company without “cause” (as defined in the Bennett Letter Agreement) or her voluntary termination of employment with the Company for “good reason” (as defined in the Bennett Letter Agreement), provided she (a) complies fully with all obligations under the Bennett Letter Agreement and the Bennett CNCA, and (b) executes and does not revoke a general release of all claims arising out of or related to her employment with the Company. The Bennett CNCA contains (a) customary confidentiality provisions, (b) a non-compete covenant that applies during Ms. Bennett’s employment and for 12 months thereafter and which restricts her from performing services for any person or entity in the United States that is or was a client of Westwood with respect to whom Ms. Bennett did business and/or had personal contact during her employment with Westwood, and (c) customary employee and client non-solicitation restrictive covenants that apply during Ms. Bennett’s employment and for 24 months thereafter. In addition, under the Bennett CNCA, Westwood can elect to restrict Ms. Bennett from competing against Westwood in any capacity for up to six months following her termination of employment in exchange for monthly salary continuation payments.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Change in Control</w:t>
      </w:r>
    </w:p>
    <w:p>
      <w:pPr>
        <w:spacing w:after="0" w:line="119"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Set forth below is a summary of the compensation and benefits payable to Messrs. Casey, Gomez and Ms. Bennett in the event their employment is terminated.</w:t>
      </w:r>
    </w:p>
    <w:p>
      <w:pPr>
        <w:spacing w:after="0" w:line="54"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Under the terms of our Stock Incentive Plan, in the event of their death or a "change in control" of the Company, unvested time-vested restricted stock awards would vest. Other than the terms of Mr. Gomez's severance benefit agreement discussed in "Employment and Related Agreements" above and the acceleration of restricted stock awards for Mr. Gomez and Ms. Bennett upon death or a "change in control," they are not contractually entitled to any other severance payments upon their termination or a "change in control" of the Company.</w:t>
      </w:r>
    </w:p>
    <w:p>
      <w:pPr>
        <w:spacing w:after="0" w:line="7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Under the employment agreement in place, payments to Mr. Casey could vary depending on the cause of termination and whether or not the Board elects to enforce a non-compete agreement. Mr. Casey's agreement contains a "double trigger" change in control related to cash severance, requiring a qualifying termination of employment within 24 months following a qualifying change in control event, which is consistent with external market practice.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various payment scenarios for Mr. Casey are:</w:t>
      </w:r>
    </w:p>
    <w:p>
      <w:pPr>
        <w:spacing w:after="0" w:line="117"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without cause, by the executive for good reason or non-renewal by the Company (the non-compete agreement is automatically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has not been already paid:</w:t>
      </w:r>
    </w:p>
    <w:p>
      <w:pPr>
        <w:spacing w:after="0" w:line="117" w:lineRule="exact"/>
        <w:rPr>
          <w:sz w:val="20"/>
          <w:szCs w:val="20"/>
          <w:color w:val="auto"/>
        </w:rPr>
      </w:pPr>
    </w:p>
    <w:p>
      <w:pPr>
        <w:ind w:left="660" w:right="180" w:hanging="328"/>
        <w:spacing w:after="0" w:line="282"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 times the sum of one year's salary plus the annual bonus paid for the most recently completed year, to be paid in monthly installments over eighteen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eighteen months following termination; and</w:t>
      </w:r>
    </w:p>
    <w:p>
      <w:pPr>
        <w:spacing w:after="0" w:line="117" w:lineRule="exact"/>
        <w:rPr>
          <w:rFonts w:ascii="Times New Roman" w:cs="Times New Roman" w:eastAsia="Times New Roman" w:hAnsi="Times New Roman"/>
          <w:sz w:val="18"/>
          <w:szCs w:val="18"/>
          <w:color w:val="auto"/>
        </w:rPr>
      </w:pPr>
    </w:p>
    <w:p>
      <w:pPr>
        <w:ind w:left="660" w:right="40" w:hanging="328"/>
        <w:spacing w:after="0" w:line="254" w:lineRule="auto"/>
        <w:tabs>
          <w:tab w:leader="none" w:pos="65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unvested restricted shares shall be fully vested; provided, however, that to the extent that any such awards are subject to performance-based vesting conditions then those awards will only become vested if and to the extent that such awards would have become vested in accordance with their terms if Mr. Casey's employment had continued; and provided further that, if such award is subject to periodic vesting based upon performance conditions established for each vesting period, then the annual performance conditions applicable to any such award following the termination of Mr. Casey's employment shall be the same as the last periodic performance goal established with respect to such award prior to the termination of Mr. Casey's employment or, if more favorable to Mr. Casey, the periodic performance conditions established for performance-based vesting of equity or equity-based awards granted to other senior executives who are then still employed by the Company.</w:t>
      </w:r>
    </w:p>
    <w:p>
      <w:pPr>
        <w:spacing w:after="0" w:line="80"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year's salary paid in monthly installments, less the amount of medical insurance premiums that would have paid had he remained employed;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twelve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color w:val="auto"/>
        </w:rPr>
        <w:t>Payments upon termination with cause, by Mr. Casey without good reason or non-renewal by Mr. Casey where the non-compete agreement is not enforced</w:t>
      </w:r>
    </w:p>
    <w:p>
      <w:pPr>
        <w:spacing w:after="0" w:line="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he has not been already paid:</w:t>
      </w:r>
    </w:p>
    <w:p>
      <w:pPr>
        <w:spacing w:after="0" w:line="117"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twelve months following termination.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unvested stock options and all unvested restricted shares shall be forfeited under this scenario.</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a change in control (the non-compete agreement is automatically enforced)</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Mr. Casey not been already paid:</w:t>
      </w:r>
    </w:p>
    <w:p>
      <w:pPr>
        <w:sectPr>
          <w:pgSz w:w="11900" w:h="16838" w:orient="portrait"/>
          <w:cols w:equalWidth="0" w:num="1">
            <w:col w:w="11220"/>
          </w:cols>
          <w:pgMar w:left="320" w:top="902" w:right="359" w:bottom="1440" w:gutter="0" w:footer="0" w:header="0"/>
        </w:sectPr>
      </w:pP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20"/>
          </w:cols>
          <w:pgMar w:left="320" w:top="902" w:right="359" w:bottom="1440" w:gutter="0" w:footer="0" w:header="0"/>
          <w:type w:val="continuous"/>
        </w:sectPr>
      </w:pPr>
    </w:p>
    <w:bookmarkStart w:id="27" w:name="page28"/>
    <w:bookmarkEnd w:id="27"/>
    <w:p>
      <w:pPr>
        <w:ind w:left="660" w:right="12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two times the sum of one year's salary plus the annual bonus paid for the most recently completed year, to be paid in monthly installments over twenty-four months;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eighteen months following termination; and</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 provided, however, that to the extent that any such awards are subject to performance-based vesting conditions, the performance goals were achieved at 100% of the target performance.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death</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eighteen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Payments upon termination due to disability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Amounts under this scenario include the following to the extent they have not been already paid:</w:t>
      </w:r>
    </w:p>
    <w:p>
      <w:pPr>
        <w:spacing w:after="0" w:line="117" w:lineRule="exact"/>
        <w:rPr>
          <w:sz w:val="20"/>
          <w:szCs w:val="20"/>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 and incentive compensation earned as of the termination date;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vacation time, earned and unused;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disability benefits, if any, at least equal to those then provided by the Company to disabled executives and their families;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benefits for twelve months following termination;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unvested stock options and all unvested restricted shares shall be fully vested.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2022</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all outstanding equity awards held by our named executive officers as of December 31, 2022:</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Borders>
              <w:bottom w:val="single" w:sz="8" w:color="auto"/>
            </w:tcBorders>
            <w:gridSpan w:val="4"/>
          </w:tcPr>
          <w:p>
            <w:pPr>
              <w:ind w:left="108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1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Value</w:t>
            </w:r>
          </w:p>
        </w:tc>
        <w:tc>
          <w:tcPr>
            <w:tcW w:w="130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14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Securities</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Plan Awards:</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Underlying</w:t>
            </w:r>
          </w:p>
        </w:tc>
        <w:tc>
          <w:tcPr>
            <w:tcW w:w="100" w:type="dxa"/>
            <w:vAlign w:val="bottom"/>
          </w:tcPr>
          <w:p>
            <w:pPr>
              <w:spacing w:after="0"/>
              <w:rPr>
                <w:sz w:val="14"/>
                <w:szCs w:val="14"/>
                <w:color w:val="auto"/>
              </w:rPr>
            </w:pPr>
          </w:p>
        </w:tc>
        <w:tc>
          <w:tcPr>
            <w:tcW w:w="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of</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of Shares of</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Market or Payout</w:t>
            </w:r>
          </w:p>
        </w:tc>
        <w:tc>
          <w:tcPr>
            <w:tcW w:w="0" w:type="dxa"/>
            <w:vAlign w:val="bottom"/>
          </w:tcPr>
          <w:p>
            <w:pPr>
              <w:spacing w:after="0"/>
              <w:rPr>
                <w:sz w:val="1"/>
                <w:szCs w:val="1"/>
                <w:color w:val="auto"/>
              </w:rPr>
            </w:pPr>
          </w:p>
        </w:tc>
      </w:tr>
      <w:tr>
        <w:trPr>
          <w:trHeight w:val="162"/>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Unexercised</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1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Award Grant</w:t>
            </w:r>
          </w:p>
        </w:tc>
        <w:tc>
          <w:tcPr>
            <w:tcW w:w="10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Stock That</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 That</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Unearned Shares</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Value of Unearned</w:t>
            </w:r>
          </w:p>
        </w:tc>
        <w:tc>
          <w:tcPr>
            <w:tcW w:w="0" w:type="dxa"/>
            <w:vAlign w:val="bottom"/>
          </w:tcPr>
          <w:p>
            <w:pPr>
              <w:spacing w:after="0"/>
              <w:rPr>
                <w:sz w:val="1"/>
                <w:szCs w:val="1"/>
                <w:color w:val="auto"/>
              </w:rPr>
            </w:pPr>
          </w:p>
        </w:tc>
      </w:tr>
      <w:tr>
        <w:trPr>
          <w:trHeight w:val="162"/>
        </w:trPr>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Options</w:t>
            </w:r>
          </w:p>
        </w:tc>
        <w:tc>
          <w:tcPr>
            <w:tcW w:w="100" w:type="dxa"/>
            <w:vAlign w:val="bottom"/>
          </w:tcPr>
          <w:p>
            <w:pPr>
              <w:spacing w:after="0"/>
              <w:rPr>
                <w:sz w:val="14"/>
                <w:szCs w:val="14"/>
                <w:color w:val="auto"/>
              </w:rPr>
            </w:pPr>
          </w:p>
        </w:tc>
        <w:tc>
          <w:tcPr>
            <w:tcW w:w="8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1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1120" w:type="dxa"/>
            <w:vAlign w:val="bottom"/>
            <w:gridSpan w:val="2"/>
            <w:vMerge w:val="continue"/>
          </w:tcPr>
          <w:p>
            <w:pPr>
              <w:spacing w:after="0"/>
              <w:rPr>
                <w:sz w:val="14"/>
                <w:szCs w:val="14"/>
                <w:color w:val="auto"/>
              </w:rPr>
            </w:pPr>
          </w:p>
        </w:tc>
        <w:tc>
          <w:tcPr>
            <w:tcW w:w="10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Have Not</w:t>
            </w: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Have Not</w:t>
            </w: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That Have Not</w:t>
            </w:r>
          </w:p>
        </w:tc>
        <w:tc>
          <w:tcPr>
            <w:tcW w:w="14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Shares That Have</w:t>
            </w:r>
          </w:p>
        </w:tc>
        <w:tc>
          <w:tcPr>
            <w:tcW w:w="0" w:type="dxa"/>
            <w:vAlign w:val="bottom"/>
          </w:tcPr>
          <w:p>
            <w:pPr>
              <w:spacing w:after="0"/>
              <w:rPr>
                <w:sz w:val="1"/>
                <w:szCs w:val="1"/>
                <w:color w:val="auto"/>
              </w:rPr>
            </w:pPr>
          </w:p>
        </w:tc>
      </w:tr>
      <w:tr>
        <w:trPr>
          <w:trHeight w:val="212"/>
        </w:trPr>
        <w:tc>
          <w:tcPr>
            <w:tcW w:w="1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Exercisable (#)</w:t>
            </w:r>
          </w:p>
        </w:tc>
        <w:tc>
          <w:tcPr>
            <w:tcW w:w="100" w:type="dxa"/>
            <w:vAlign w:val="bottom"/>
          </w:tcPr>
          <w:p>
            <w:pPr>
              <w:spacing w:after="0"/>
              <w:rPr>
                <w:sz w:val="18"/>
                <w:szCs w:val="18"/>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Price ($)</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Year (1)</w:t>
            </w: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Vested (#) (2)</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Vested ($) (3)</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Vested (#)</w:t>
            </w:r>
          </w:p>
        </w:tc>
        <w:tc>
          <w:tcPr>
            <w:tcW w:w="14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Not Vested ($)</w:t>
            </w:r>
          </w:p>
        </w:tc>
        <w:tc>
          <w:tcPr>
            <w:tcW w:w="0" w:type="dxa"/>
            <w:vAlign w:val="bottom"/>
          </w:tcPr>
          <w:p>
            <w:pPr>
              <w:spacing w:after="0"/>
              <w:rPr>
                <w:sz w:val="1"/>
                <w:szCs w:val="1"/>
                <w:color w:val="auto"/>
              </w:rPr>
            </w:pPr>
          </w:p>
        </w:tc>
      </w:tr>
      <w:tr>
        <w:trPr>
          <w:trHeight w:val="217"/>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8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(d)</w:t>
            </w: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w:t>
            </w:r>
          </w:p>
        </w:tc>
        <w:tc>
          <w:tcPr>
            <w:tcW w:w="10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w:t>
            </w: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(h)</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(i)</w:t>
            </w:r>
          </w:p>
        </w:tc>
        <w:tc>
          <w:tcPr>
            <w:tcW w:w="0" w:type="dxa"/>
            <w:vAlign w:val="bottom"/>
          </w:tcPr>
          <w:p>
            <w:pPr>
              <w:spacing w:after="0"/>
              <w:rPr>
                <w:sz w:val="1"/>
                <w:szCs w:val="1"/>
                <w:color w:val="auto"/>
              </w:rPr>
            </w:pPr>
          </w:p>
        </w:tc>
      </w:tr>
      <w:tr>
        <w:trPr>
          <w:trHeight w:val="328"/>
        </w:trPr>
        <w:tc>
          <w:tcPr>
            <w:tcW w:w="1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Brian O. Casey</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18,657</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207,652</w:t>
            </w:r>
          </w:p>
        </w:tc>
        <w:tc>
          <w:tcPr>
            <w:tcW w:w="130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CCEEFF"/>
            </w:tcBorders>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64"/>
        </w:trPr>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22"/>
                <w:szCs w:val="22"/>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15,392</w:t>
            </w: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171,313</w:t>
            </w:r>
          </w:p>
        </w:tc>
        <w:tc>
          <w:tcPr>
            <w:tcW w:w="1300" w:type="dxa"/>
            <w:vAlign w:val="bottom"/>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70"/>
        </w:trPr>
        <w:tc>
          <w:tcPr>
            <w:tcW w:w="1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Fabian Gomez</w:t>
            </w: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8,664</w:t>
            </w: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96,430</w:t>
            </w:r>
          </w:p>
        </w:tc>
        <w:tc>
          <w:tcPr>
            <w:tcW w:w="13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4,518</w:t>
            </w:r>
          </w:p>
        </w:tc>
        <w:tc>
          <w:tcPr>
            <w:tcW w:w="8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50,285</w:t>
            </w:r>
          </w:p>
        </w:tc>
        <w:tc>
          <w:tcPr>
            <w:tcW w:w="1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3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8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14,246</w:t>
            </w:r>
          </w:p>
        </w:tc>
        <w:tc>
          <w:tcPr>
            <w:tcW w:w="1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7"/>
        </w:trPr>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14,030</w:t>
            </w:r>
          </w:p>
        </w:tc>
        <w:tc>
          <w:tcPr>
            <w:tcW w:w="8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156,154</w:t>
            </w:r>
          </w:p>
        </w:tc>
        <w:tc>
          <w:tcPr>
            <w:tcW w:w="130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2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Leah Bennett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2021</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6,409</w:t>
            </w:r>
          </w:p>
        </w:tc>
        <w:tc>
          <w:tcPr>
            <w:tcW w:w="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71,332</w:t>
            </w:r>
          </w:p>
        </w:tc>
        <w:tc>
          <w:tcPr>
            <w:tcW w:w="1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2020</w:t>
            </w:r>
          </w:p>
        </w:tc>
        <w:tc>
          <w:tcPr>
            <w:tcW w:w="1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2,927</w:t>
            </w:r>
          </w:p>
        </w:tc>
        <w:tc>
          <w:tcPr>
            <w:tcW w:w="8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32,578</w:t>
            </w:r>
          </w:p>
        </w:tc>
        <w:tc>
          <w:tcPr>
            <w:tcW w:w="13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12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2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60" w:type="dxa"/>
            <w:vAlign w:val="bottom"/>
            <w:vMerge w:val="continue"/>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4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2019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0" w:type="dxa"/>
            <w:vAlign w:val="bottom"/>
            <w:shd w:val="clear" w:color="auto" w:fill="CCEEFF"/>
          </w:tcPr>
          <w:p>
            <w:pPr>
              <w:spacing w:after="0"/>
              <w:rPr>
                <w:sz w:val="18"/>
                <w:szCs w:val="18"/>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10,685</w:t>
            </w:r>
          </w:p>
        </w:tc>
        <w:tc>
          <w:tcPr>
            <w:tcW w:w="13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12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60" w:type="dxa"/>
            <w:vAlign w:val="bottom"/>
            <w:vMerge w:val="continue"/>
            <w:shd w:val="clear" w:color="auto" w:fill="CCEEFF"/>
          </w:tcPr>
          <w:p>
            <w:pPr>
              <w:spacing w:after="0"/>
              <w:rPr>
                <w:sz w:val="5"/>
                <w:szCs w:val="5"/>
                <w:color w:val="auto"/>
              </w:rPr>
            </w:pPr>
          </w:p>
        </w:tc>
        <w:tc>
          <w:tcPr>
            <w:tcW w:w="13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420" w:hanging="412"/>
        <w:spacing w:after="0" w:line="281" w:lineRule="auto"/>
        <w:tabs>
          <w:tab w:leader="none" w:pos="32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The years in column (e) reflect the year in which the award was granted. The 2019 grant was for 2018 performance year, the 2020 grant was for 2019 performance year, the 2021 grant was for 2020 performance year, and the 2022 grant was for the 2021 performance year.</w:t>
      </w:r>
    </w:p>
    <w:p>
      <w:pPr>
        <w:spacing w:after="0" w:line="1" w:lineRule="exact"/>
        <w:rPr>
          <w:rFonts w:ascii="Times New Roman" w:cs="Times New Roman" w:eastAsia="Times New Roman" w:hAnsi="Times New Roman"/>
          <w:sz w:val="14"/>
          <w:szCs w:val="14"/>
          <w:color w:val="auto"/>
        </w:rPr>
      </w:pPr>
    </w:p>
    <w:p>
      <w:pPr>
        <w:ind w:left="420" w:right="60" w:hanging="412"/>
        <w:spacing w:after="0" w:line="263" w:lineRule="auto"/>
        <w:tabs>
          <w:tab w:leader="none" w:pos="363" w:val="left"/>
        </w:tabs>
        <w:numPr>
          <w:ilvl w:val="0"/>
          <w:numId w:val="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in column (g) will vest in late February of each year according to the following schedule provided that the individual is still employed on the vesting date. The 2019 grant vested over a 4-year period with 50% vesting Year 2, 25% vesting Year 3, and 25% vesting Year 4. The 2020 grant vests over a 4-year period with 25% vesting Year 1, 25% vesting Year 2, 25% vesting Year 3, and 25% vesting Year 4. The 2021 and 2022 grants vests over a 3-year period with 34% vesting Year 1, 33% vesting Year 2, and 33% vesting Year 3.</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20"/>
          </w:cols>
          <w:pgMar w:left="320" w:top="553" w:right="359" w:bottom="1440" w:gutter="0" w:footer="0" w:header="0"/>
        </w:sectPr>
      </w:pPr>
    </w:p>
    <w:bookmarkStart w:id="28" w:name="page29"/>
    <w:bookmarkEnd w:id="28"/>
    <w:p>
      <w:pPr>
        <w:ind w:left="500" w:right="300" w:hanging="411"/>
        <w:spacing w:after="0" w:line="280" w:lineRule="auto"/>
        <w:tabs>
          <w:tab w:leader="none" w:pos="443" w:val="left"/>
        </w:tabs>
        <w:numPr>
          <w:ilvl w:val="0"/>
          <w:numId w:val="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in columns (h) and (i) reflect the value of the shares shown in columns (g) and (i), respectively, multiplied by $11.13, the closing market price of our common stock as of December 30, 2022, the last business day in 2022.</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equity-based incentive awards are governed by the Stock Incentive Plan (the “Plan”).</w:t>
      </w:r>
    </w:p>
    <w:p>
      <w:pPr>
        <w:spacing w:after="0" w:line="117"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In 2022, equity awards under the Plan consisted of our authorized restricted common stock. Awards under the Plan may be made to employees, including officers and directors who may be employees, non-employee directors, and consultants. Any shares issued under the Plan may consist of authorized but unissued shares or forfeited shares, or a combination thereof.</w:t>
      </w:r>
    </w:p>
    <w:p>
      <w:pPr>
        <w:spacing w:after="0" w:line="68"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The Plan authorizes the grant of several types of equity-based awards, including incentive stock options ("ISOs"), nonstatutory stock options ("NSOs") restricted stock, mutual fund awards, stock purchase rights, stock appreciation rights ("SARS"), restricted stock units ("RSU") and performance shares (in the form of deferred stock awards). The Plan also authorizes cash awards in the form of annual incentive awards, performance-based awards, and discretionary bonus awards. The various types of awards authorized under the Plan may be utilized in the future if determined to be appropriate by the Compensation and Human Capital Committee (the “Committee”). Currently, the Committee limits its equity-based awards under the Plan to restricted stock and mutual fund awards. The Committee believes that restricted stock awards are the most effective vehicle to align the interests of employees with stockholders and clients. Unless the Committee determines otherwise, the recipient of restricted shares will generally have the right to vote the restricted shares. No dividends are payable with respect to unvested restricted stock. The Committee has determined that dividends payable on unvested restricted stock will be accrued and therefore dividends are subject to forfeiture conditions and payable to the recipient only when the underlying shares of restricted stock vest. The Committee believes that these terms and conditions for restricted stock awards offer the best balance of providing value to the employee as we succeed as a company as well as providing a mechanism to retain key employees over the long-term as they build a meaningful portion of their wealth in the form of Company equity.</w:t>
      </w:r>
    </w:p>
    <w:p>
      <w:pPr>
        <w:spacing w:after="0" w:line="82"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Board or the Committee administers the Plan with respect to all eligible individuals. Cash incentive awards are typically communicated to employees and paid in the first quarter of the following year to coincide with year-end performance reviews. Annual time-vested restricted stock awards are generally awarded in the first quarter of the year and reflect performance in the prior year.</w:t>
      </w:r>
    </w:p>
    <w:p>
      <w:pPr>
        <w:spacing w:after="0" w:line="68" w:lineRule="exact"/>
        <w:rPr>
          <w:sz w:val="20"/>
          <w:szCs w:val="20"/>
          <w:color w:val="auto"/>
        </w:rPr>
      </w:pPr>
    </w:p>
    <w:p>
      <w:pPr>
        <w:ind w:right="260" w:firstLine="405"/>
        <w:spacing w:after="0" w:line="282" w:lineRule="auto"/>
        <w:rPr>
          <w:sz w:val="20"/>
          <w:szCs w:val="20"/>
          <w:color w:val="auto"/>
        </w:rPr>
      </w:pPr>
      <w:r>
        <w:rPr>
          <w:rFonts w:ascii="Times New Roman" w:cs="Times New Roman" w:eastAsia="Times New Roman" w:hAnsi="Times New Roman"/>
          <w:sz w:val="18"/>
          <w:szCs w:val="18"/>
          <w:color w:val="auto"/>
        </w:rPr>
        <w:t>Determinations of the Committee are final, conclusive, and binding upon all persons having an interest in the Plan. Any action or determination by the Committee regarding an award to a non-employee director must be approved by the Board.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121" w:lineRule="exact"/>
        <w:rPr>
          <w:sz w:val="20"/>
          <w:szCs w:val="20"/>
          <w:color w:val="auto"/>
        </w:rPr>
      </w:pPr>
    </w:p>
    <w:p>
      <w:pPr>
        <w:ind w:right="200" w:firstLine="405"/>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provide the following disclosure regarding executive compensation for our principal executive officer (“PEO”) and Non-PEO NEOs and Company performance for the fiscal years listed below. The Compensation and Human Capital Committee did not consider the pay versus performance disclosure below in making its pay decisions for any of the years shown.</w:t>
      </w:r>
    </w:p>
    <w:p>
      <w:pPr>
        <w:spacing w:after="0" w:line="93"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of Initial</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5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3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gridSpan w:val="2"/>
            <w:vMerge w:val="continue"/>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60" w:type="dxa"/>
            <w:vAlign w:val="bottom"/>
          </w:tcPr>
          <w:p>
            <w:pPr>
              <w:jc w:val="center"/>
              <w:ind w:right="6"/>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300" w:type="dxa"/>
            <w:vAlign w:val="bottom"/>
            <w:gridSpan w:val="2"/>
            <w:vMerge w:val="continue"/>
          </w:tcPr>
          <w:p>
            <w:pPr>
              <w:spacing w:after="0"/>
              <w:rPr>
                <w:sz w:val="12"/>
                <w:szCs w:val="12"/>
                <w:color w:val="auto"/>
              </w:rPr>
            </w:pPr>
          </w:p>
        </w:tc>
        <w:tc>
          <w:tcPr>
            <w:tcW w:w="11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Fixed $100</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5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 Brian</w:t>
            </w:r>
          </w:p>
        </w:tc>
        <w:tc>
          <w:tcPr>
            <w:tcW w:w="1060" w:type="dxa"/>
            <w:vAlign w:val="bottom"/>
          </w:tcPr>
          <w:p>
            <w:pPr>
              <w:jc w:val="center"/>
              <w:ind w:right="6"/>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5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 Casey</w:t>
            </w:r>
          </w:p>
        </w:tc>
        <w:tc>
          <w:tcPr>
            <w:tcW w:w="1060" w:type="dxa"/>
            <w:vAlign w:val="bottom"/>
          </w:tcPr>
          <w:p>
            <w:pPr>
              <w:jc w:val="center"/>
              <w:ind w:right="26"/>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1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1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based on: TSR</w:t>
            </w: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Brian O. Casey ($)</w:t>
            </w:r>
          </w:p>
        </w:tc>
        <w:tc>
          <w:tcPr>
            <w:tcW w:w="1460" w:type="dxa"/>
            <w:vAlign w:val="bottom"/>
          </w:tcPr>
          <w:p>
            <w:pPr>
              <w:jc w:val="right"/>
              <w:ind w:right="586"/>
              <w:spacing w:after="0" w:line="135"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60" w:type="dxa"/>
            <w:vAlign w:val="bottom"/>
          </w:tcPr>
          <w:p>
            <w:pPr>
              <w:jc w:val="center"/>
              <w:ind w:right="6"/>
              <w:spacing w:after="0" w:line="135" w:lineRule="exact"/>
              <w:rPr>
                <w:sz w:val="20"/>
                <w:szCs w:val="20"/>
                <w:color w:val="auto"/>
              </w:rPr>
            </w:pPr>
            <w:r>
              <w:rPr>
                <w:rFonts w:ascii="Times New Roman" w:cs="Times New Roman" w:eastAsia="Times New Roman" w:hAnsi="Times New Roman"/>
                <w:sz w:val="14"/>
                <w:szCs w:val="14"/>
                <w:b w:val="1"/>
                <w:bCs w:val="1"/>
                <w:color w:val="auto"/>
              </w:rPr>
              <w:t>NEOs</w:t>
            </w:r>
          </w:p>
        </w:tc>
        <w:tc>
          <w:tcPr>
            <w:tcW w:w="13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(Loss)</w:t>
            </w:r>
          </w:p>
        </w:tc>
        <w:tc>
          <w:tcPr>
            <w:tcW w:w="0" w:type="dxa"/>
            <w:vAlign w:val="bottom"/>
          </w:tcPr>
          <w:p>
            <w:pPr>
              <w:spacing w:after="0"/>
              <w:rPr>
                <w:sz w:val="1"/>
                <w:szCs w:val="1"/>
                <w:color w:val="auto"/>
              </w:rPr>
            </w:pPr>
          </w:p>
        </w:tc>
      </w:tr>
      <w:tr>
        <w:trPr>
          <w:trHeight w:val="198"/>
        </w:trPr>
        <w:tc>
          <w:tcPr>
            <w:tcW w:w="3260" w:type="dxa"/>
            <w:vAlign w:val="bottom"/>
            <w:gridSpan w:val="2"/>
            <w:vMerge w:val="continue"/>
          </w:tcPr>
          <w:p>
            <w:pPr>
              <w:spacing w:after="0"/>
              <w:rPr>
                <w:sz w:val="17"/>
                <w:szCs w:val="17"/>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20" w:type="dxa"/>
            <w:vAlign w:val="bottom"/>
          </w:tcPr>
          <w:p>
            <w:pPr>
              <w:spacing w:after="0"/>
              <w:rPr>
                <w:sz w:val="17"/>
                <w:szCs w:val="17"/>
                <w:color w:val="auto"/>
              </w:rPr>
            </w:pPr>
          </w:p>
        </w:tc>
        <w:tc>
          <w:tcPr>
            <w:tcW w:w="1460" w:type="dxa"/>
            <w:vAlign w:val="bottom"/>
          </w:tcPr>
          <w:p>
            <w:pPr>
              <w:jc w:val="right"/>
              <w:ind w:right="466"/>
              <w:spacing w:after="0"/>
              <w:rPr>
                <w:sz w:val="20"/>
                <w:szCs w:val="20"/>
                <w:color w:val="auto"/>
              </w:rPr>
            </w:pPr>
            <w:r>
              <w:rPr>
                <w:rFonts w:ascii="Times New Roman" w:cs="Times New Roman" w:eastAsia="Times New Roman" w:hAnsi="Times New Roman"/>
                <w:sz w:val="14"/>
                <w:szCs w:val="14"/>
                <w:b w:val="1"/>
                <w:bCs w:val="1"/>
                <w:color w:val="auto"/>
              </w:rPr>
              <w:t>(1,2,3)</w:t>
            </w:r>
          </w:p>
        </w:tc>
        <w:tc>
          <w:tcPr>
            <w:tcW w:w="100" w:type="dxa"/>
            <w:vAlign w:val="bottom"/>
          </w:tcPr>
          <w:p>
            <w:pPr>
              <w:spacing w:after="0"/>
              <w:rPr>
                <w:sz w:val="17"/>
                <w:szCs w:val="17"/>
                <w:color w:val="auto"/>
              </w:rPr>
            </w:pPr>
          </w:p>
        </w:tc>
        <w:tc>
          <w:tcPr>
            <w:tcW w:w="1060" w:type="dxa"/>
            <w:vAlign w:val="bottom"/>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w:t>
            </w:r>
          </w:p>
        </w:tc>
        <w:tc>
          <w:tcPr>
            <w:tcW w:w="1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(4)</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201"/>
        </w:trPr>
        <w:tc>
          <w:tcPr>
            <w:tcW w:w="3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(d)</w:t>
            </w: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0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0" w:type="dxa"/>
            <w:vAlign w:val="bottom"/>
          </w:tcPr>
          <w:p>
            <w:pPr>
              <w:spacing w:after="0"/>
              <w:rPr>
                <w:sz w:val="1"/>
                <w:szCs w:val="1"/>
                <w:color w:val="auto"/>
              </w:rPr>
            </w:pPr>
          </w:p>
        </w:tc>
      </w:tr>
      <w:tr>
        <w:trPr>
          <w:trHeight w:val="213"/>
        </w:trPr>
        <w:tc>
          <w:tcPr>
            <w:tcW w:w="3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1,362,050</w:t>
            </w:r>
          </w:p>
        </w:tc>
        <w:tc>
          <w:tcPr>
            <w:tcW w:w="120" w:type="dxa"/>
            <w:vAlign w:val="bottom"/>
          </w:tcPr>
          <w:p>
            <w:pPr>
              <w:spacing w:after="0"/>
              <w:rPr>
                <w:sz w:val="18"/>
                <w:szCs w:val="18"/>
                <w:color w:val="auto"/>
              </w:rPr>
            </w:pPr>
          </w:p>
        </w:tc>
        <w:tc>
          <w:tcPr>
            <w:tcW w:w="14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1,265,667</w:t>
            </w:r>
          </w:p>
        </w:tc>
        <w:tc>
          <w:tcPr>
            <w:tcW w:w="100" w:type="dxa"/>
            <w:vAlign w:val="bottom"/>
          </w:tcPr>
          <w:p>
            <w:pPr>
              <w:spacing w:after="0"/>
              <w:rPr>
                <w:sz w:val="18"/>
                <w:szCs w:val="18"/>
                <w:color w:val="auto"/>
              </w:rPr>
            </w:pPr>
          </w:p>
        </w:tc>
        <w:tc>
          <w:tcPr>
            <w:tcW w:w="106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764,108</w:t>
            </w:r>
          </w:p>
        </w:tc>
        <w:tc>
          <w:tcPr>
            <w:tcW w:w="120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623,349</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91.04</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9"/>
        </w:trPr>
        <w:tc>
          <w:tcPr>
            <w:tcW w:w="3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1,704,900</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1,744,152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813,975</w:t>
            </w:r>
          </w:p>
        </w:tc>
        <w:tc>
          <w:tcPr>
            <w:tcW w:w="12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840,913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Brian O. Casey was our PEO for each year presented. The individuals comprising the Non-PEO NEOs for each year presented are listed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20"/>
                <w:szCs w:val="20"/>
                <w:color w:val="auto"/>
              </w:rPr>
            </w:pPr>
          </w:p>
        </w:tc>
        <w:tc>
          <w:tcPr>
            <w:tcW w:w="5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r>
      <w:tr>
        <w:trPr>
          <w:trHeight w:val="218"/>
        </w:trPr>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Fabian Gomez</w:t>
            </w:r>
          </w:p>
        </w:tc>
        <w:tc>
          <w:tcPr>
            <w:tcW w:w="160" w:type="dxa"/>
            <w:vAlign w:val="bottom"/>
          </w:tcPr>
          <w:p>
            <w:pPr>
              <w:spacing w:after="0"/>
              <w:rPr>
                <w:sz w:val="18"/>
                <w:szCs w:val="18"/>
                <w:color w:val="auto"/>
              </w:rPr>
            </w:pP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Fabian Gomez</w:t>
            </w:r>
          </w:p>
        </w:tc>
      </w:tr>
      <w:tr>
        <w:trPr>
          <w:trHeight w:val="230"/>
        </w:trPr>
        <w:tc>
          <w:tcPr>
            <w:tcW w:w="5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Julie K. Gerron</w:t>
            </w:r>
          </w:p>
        </w:tc>
        <w:tc>
          <w:tcPr>
            <w:tcW w:w="5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Leah Bennett</w:t>
            </w:r>
          </w:p>
        </w:tc>
      </w:tr>
      <w:tr>
        <w:trPr>
          <w:trHeight w:val="229"/>
        </w:trPr>
        <w:tc>
          <w:tcPr>
            <w:tcW w:w="5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Murray "Terry" Forbes III</w:t>
            </w:r>
          </w:p>
        </w:tc>
        <w:tc>
          <w:tcPr>
            <w:tcW w:w="5540" w:type="dxa"/>
            <w:vAlign w:val="bottom"/>
          </w:tcPr>
          <w:p>
            <w:pPr>
              <w:spacing w:after="0"/>
              <w:rPr>
                <w:sz w:val="19"/>
                <w:szCs w:val="19"/>
                <w:color w:val="auto"/>
              </w:rPr>
            </w:pPr>
          </w:p>
        </w:tc>
      </w:tr>
      <w:tr>
        <w:trPr>
          <w:trHeight w:val="234"/>
        </w:trPr>
        <w:tc>
          <w:tcPr>
            <w:tcW w:w="57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Steven Paddon</w:t>
            </w:r>
          </w:p>
        </w:tc>
        <w:tc>
          <w:tcPr>
            <w:tcW w:w="5540" w:type="dxa"/>
            <w:vAlign w:val="bottom"/>
          </w:tcPr>
          <w:p>
            <w:pPr>
              <w:spacing w:after="0"/>
              <w:rPr>
                <w:sz w:val="20"/>
                <w:szCs w:val="20"/>
                <w:color w:val="auto"/>
              </w:rPr>
            </w:pPr>
          </w:p>
        </w:tc>
      </w:tr>
    </w:tbl>
    <w:p>
      <w:pPr>
        <w:spacing w:after="0" w:line="184" w:lineRule="exact"/>
        <w:rPr>
          <w:sz w:val="20"/>
          <w:szCs w:val="20"/>
          <w:color w:val="auto"/>
        </w:rPr>
      </w:pPr>
    </w:p>
    <w:p>
      <w:pPr>
        <w:ind w:left="660" w:right="6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67" w:lineRule="exact"/>
        <w:rPr>
          <w:rFonts w:ascii="Times New Roman" w:cs="Times New Roman" w:eastAsia="Times New Roman" w:hAnsi="Times New Roman"/>
          <w:sz w:val="18"/>
          <w:szCs w:val="18"/>
          <w:color w:val="auto"/>
        </w:rPr>
      </w:pPr>
    </w:p>
    <w:p>
      <w:pPr>
        <w:ind w:left="660" w:right="100" w:hanging="328"/>
        <w:spacing w:after="0" w:line="266" w:lineRule="auto"/>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490" w:right="339" w:bottom="1440" w:gutter="0" w:footer="0" w:header="0"/>
        </w:sectPr>
      </w:pPr>
    </w:p>
    <w:bookmarkStart w:id="29" w:name="page30"/>
    <w:bookmarkEnd w:id="29"/>
    <w:tbl>
      <w:tblPr>
        <w:tblLayout w:type="fixed"/>
        <w:tblInd w:w="92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6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Summary Compensation Table</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Exclusion of Stock Awards for</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Inclusion of Equity Values for</w:t>
            </w:r>
          </w:p>
        </w:tc>
        <w:tc>
          <w:tcPr>
            <w:tcW w:w="20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0" w:type="dxa"/>
            <w:vAlign w:val="bottom"/>
          </w:tcPr>
          <w:p>
            <w:pPr>
              <w:spacing w:after="0"/>
              <w:rPr>
                <w:sz w:val="1"/>
                <w:szCs w:val="1"/>
                <w:color w:val="auto"/>
              </w:rPr>
            </w:pPr>
          </w:p>
        </w:tc>
      </w:tr>
      <w:tr>
        <w:trPr>
          <w:trHeight w:val="190"/>
        </w:trPr>
        <w:tc>
          <w:tcPr>
            <w:tcW w:w="860" w:type="dxa"/>
            <w:vAlign w:val="bottom"/>
            <w:vMerge w:val="continue"/>
          </w:tcPr>
          <w:p>
            <w:pPr>
              <w:spacing w:after="0"/>
              <w:rPr>
                <w:sz w:val="16"/>
                <w:szCs w:val="16"/>
                <w:color w:val="auto"/>
              </w:rPr>
            </w:pPr>
          </w:p>
        </w:tc>
        <w:tc>
          <w:tcPr>
            <w:tcW w:w="26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Total for Brian O. Casey ($)</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2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2080" w:type="dxa"/>
            <w:vAlign w:val="bottom"/>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1,362,050</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(312,500)</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216,117</w:t>
            </w:r>
          </w:p>
        </w:tc>
        <w:tc>
          <w:tcPr>
            <w:tcW w:w="8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1,265,667</w:t>
            </w:r>
          </w:p>
        </w:tc>
        <w:tc>
          <w:tcPr>
            <w:tcW w:w="0" w:type="dxa"/>
            <w:vAlign w:val="bottom"/>
          </w:tcPr>
          <w:p>
            <w:pPr>
              <w:spacing w:after="0"/>
              <w:rPr>
                <w:sz w:val="1"/>
                <w:szCs w:val="1"/>
                <w:color w:val="auto"/>
              </w:rPr>
            </w:pPr>
          </w:p>
        </w:tc>
      </w:tr>
      <w:tr>
        <w:trPr>
          <w:trHeight w:val="210"/>
        </w:trPr>
        <w:tc>
          <w:tcPr>
            <w:tcW w:w="2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1,704,900</w:t>
            </w:r>
          </w:p>
        </w:tc>
        <w:tc>
          <w:tcPr>
            <w:tcW w:w="80" w:type="dxa"/>
            <w:vAlign w:val="bottom"/>
          </w:tcPr>
          <w:p>
            <w:pPr>
              <w:spacing w:after="0"/>
              <w:rPr>
                <w:sz w:val="18"/>
                <w:szCs w:val="18"/>
                <w:color w:val="auto"/>
              </w:rPr>
            </w:pPr>
          </w:p>
        </w:tc>
        <w:tc>
          <w:tcPr>
            <w:tcW w:w="2260" w:type="dxa"/>
            <w:vAlign w:val="bottom"/>
            <w:gridSpan w:val="2"/>
          </w:tcPr>
          <w:p>
            <w:pPr>
              <w:ind w:left="1940"/>
              <w:spacing w:after="0"/>
              <w:rPr>
                <w:sz w:val="20"/>
                <w:szCs w:val="20"/>
                <w:color w:val="auto"/>
              </w:rPr>
            </w:pPr>
            <w:r>
              <w:rPr>
                <w:rFonts w:ascii="Times New Roman" w:cs="Times New Roman" w:eastAsia="Times New Roman" w:hAnsi="Times New Roman"/>
                <w:sz w:val="16"/>
                <w:szCs w:val="16"/>
                <w:color w:val="auto"/>
              </w:rPr>
              <w:t>—</w:t>
            </w: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39,252</w:t>
            </w:r>
          </w:p>
        </w:tc>
        <w:tc>
          <w:tcPr>
            <w:tcW w:w="80" w:type="dxa"/>
            <w:vAlign w:val="bottom"/>
          </w:tcPr>
          <w:p>
            <w:pPr>
              <w:spacing w:after="0"/>
              <w:rPr>
                <w:sz w:val="18"/>
                <w:szCs w:val="18"/>
                <w:color w:val="auto"/>
              </w:rPr>
            </w:pP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1,744,152</w:t>
            </w:r>
          </w:p>
        </w:tc>
        <w:tc>
          <w:tcPr>
            <w:tcW w:w="0" w:type="dxa"/>
            <w:vAlign w:val="bottom"/>
          </w:tcPr>
          <w:p>
            <w:pPr>
              <w:spacing w:after="0"/>
              <w:rPr>
                <w:sz w:val="1"/>
                <w:szCs w:val="1"/>
                <w:color w:val="auto"/>
              </w:rPr>
            </w:pPr>
          </w:p>
        </w:tc>
      </w:tr>
      <w:tr>
        <w:trPr>
          <w:trHeight w:val="370"/>
        </w:trPr>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 Summary Compensation</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Exclusion of Stock</w:t>
            </w:r>
          </w:p>
        </w:tc>
        <w:tc>
          <w:tcPr>
            <w:tcW w:w="22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Inclusion of Equity</w:t>
            </w:r>
          </w:p>
        </w:tc>
        <w:tc>
          <w:tcPr>
            <w:tcW w:w="2160" w:type="dxa"/>
            <w:vAlign w:val="bottom"/>
            <w:vMerge w:val="restart"/>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Average Compensation Actually</w:t>
            </w: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Non-PEO NEOs</w:t>
            </w:r>
          </w:p>
        </w:tc>
        <w:tc>
          <w:tcPr>
            <w:tcW w:w="22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and Option Awards for</w:t>
            </w:r>
          </w:p>
        </w:tc>
        <w:tc>
          <w:tcPr>
            <w:tcW w:w="2240" w:type="dxa"/>
            <w:vAlign w:val="bottom"/>
            <w:gridSpan w:val="2"/>
            <w:vMerge w:val="continue"/>
          </w:tcPr>
          <w:p>
            <w:pPr>
              <w:spacing w:after="0"/>
              <w:rPr>
                <w:sz w:val="12"/>
                <w:szCs w:val="12"/>
                <w:color w:val="auto"/>
              </w:rPr>
            </w:pPr>
          </w:p>
        </w:tc>
        <w:tc>
          <w:tcPr>
            <w:tcW w:w="2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200" w:type="dxa"/>
            <w:vAlign w:val="bottom"/>
            <w:gridSpan w:val="2"/>
            <w:vMerge w:val="continue"/>
          </w:tcPr>
          <w:p>
            <w:pPr>
              <w:spacing w:after="0"/>
              <w:rPr>
                <w:sz w:val="17"/>
                <w:szCs w:val="17"/>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2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Values for Non-PEO NEOs ($)</w:t>
            </w:r>
          </w:p>
        </w:tc>
        <w:tc>
          <w:tcPr>
            <w:tcW w:w="216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Paid to Non-PEO NEOs ($)</w:t>
            </w:r>
          </w:p>
        </w:tc>
        <w:tc>
          <w:tcPr>
            <w:tcW w:w="0" w:type="dxa"/>
            <w:vAlign w:val="bottom"/>
          </w:tcPr>
          <w:p>
            <w:pPr>
              <w:spacing w:after="0"/>
              <w:rPr>
                <w:sz w:val="1"/>
                <w:szCs w:val="1"/>
                <w:color w:val="auto"/>
              </w:rPr>
            </w:pPr>
          </w:p>
        </w:tc>
      </w:tr>
      <w:tr>
        <w:trPr>
          <w:trHeight w:val="216"/>
        </w:trPr>
        <w:tc>
          <w:tcPr>
            <w:tcW w:w="21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764,108</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(246,407)</w:t>
            </w:r>
          </w:p>
        </w:tc>
        <w:tc>
          <w:tcPr>
            <w:tcW w:w="1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105,648</w:t>
            </w:r>
          </w:p>
        </w:tc>
        <w:tc>
          <w:tcPr>
            <w:tcW w:w="8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623,349</w:t>
            </w:r>
          </w:p>
        </w:tc>
        <w:tc>
          <w:tcPr>
            <w:tcW w:w="0" w:type="dxa"/>
            <w:vAlign w:val="bottom"/>
          </w:tcPr>
          <w:p>
            <w:pPr>
              <w:spacing w:after="0"/>
              <w:rPr>
                <w:sz w:val="1"/>
                <w:szCs w:val="1"/>
                <w:color w:val="auto"/>
              </w:rPr>
            </w:pPr>
          </w:p>
        </w:tc>
      </w:tr>
      <w:tr>
        <w:trPr>
          <w:trHeight w:val="210"/>
        </w:trPr>
        <w:tc>
          <w:tcPr>
            <w:tcW w:w="2120" w:type="dxa"/>
            <w:vAlign w:val="bottom"/>
          </w:tcPr>
          <w:p>
            <w:pPr>
              <w:ind w:left="900"/>
              <w:spacing w:after="0"/>
              <w:rPr>
                <w:sz w:val="20"/>
                <w:szCs w:val="20"/>
                <w:color w:val="auto"/>
              </w:rPr>
            </w:pPr>
            <w:r>
              <w:rPr>
                <w:rFonts w:ascii="Times New Roman" w:cs="Times New Roman" w:eastAsia="Times New Roman" w:hAnsi="Times New Roman"/>
                <w:sz w:val="16"/>
                <w:szCs w:val="16"/>
                <w:color w:val="auto"/>
              </w:rPr>
              <w:t>2021</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813,975</w:t>
            </w:r>
          </w:p>
        </w:tc>
        <w:tc>
          <w:tcPr>
            <w:tcW w:w="8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(259,811)</w:t>
            </w:r>
          </w:p>
        </w:tc>
        <w:tc>
          <w:tcPr>
            <w:tcW w:w="100" w:type="dxa"/>
            <w:vAlign w:val="bottom"/>
          </w:tcPr>
          <w:p>
            <w:pPr>
              <w:spacing w:after="0"/>
              <w:rPr>
                <w:sz w:val="18"/>
                <w:szCs w:val="18"/>
                <w:color w:val="auto"/>
              </w:rPr>
            </w:pP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286,749</w:t>
            </w:r>
          </w:p>
        </w:tc>
        <w:tc>
          <w:tcPr>
            <w:tcW w:w="80" w:type="dxa"/>
            <w:vAlign w:val="bottom"/>
          </w:tcPr>
          <w:p>
            <w:pPr>
              <w:spacing w:after="0"/>
              <w:rPr>
                <w:sz w:val="18"/>
                <w:szCs w:val="18"/>
                <w:color w:val="auto"/>
              </w:rPr>
            </w:pPr>
          </w:p>
        </w:tc>
        <w:tc>
          <w:tcPr>
            <w:tcW w:w="2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840,913</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ectPr>
          <w:pgSz w:w="11900" w:h="16838" w:orient="portrait"/>
          <w:cols w:equalWidth="0" w:num="1">
            <w:col w:w="11180"/>
          </w:cols>
          <w:pgMar w:left="320" w:top="575" w:right="399" w:bottom="1440" w:gutter="0" w:footer="0" w:header="0"/>
        </w:sectPr>
      </w:pPr>
    </w:p>
    <w:p>
      <w:pPr>
        <w:spacing w:after="0" w:line="274"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560" w:type="dxa"/>
            <w:vAlign w:val="bottom"/>
          </w:tcPr>
          <w:p>
            <w:pPr>
              <w:spacing w:after="0"/>
              <w:rPr>
                <w:sz w:val="13"/>
                <w:szCs w:val="13"/>
                <w:color w:val="auto"/>
              </w:rPr>
            </w:pPr>
          </w:p>
        </w:tc>
        <w:tc>
          <w:tcPr>
            <w:tcW w:w="1620" w:type="dxa"/>
            <w:vAlign w:val="bottom"/>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Year-End Fair Value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2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Vesting-Date Fair</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6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of Equity Awards</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2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0" w:type="dxa"/>
            <w:vAlign w:val="bottom"/>
          </w:tcPr>
          <w:p>
            <w:pPr>
              <w:spacing w:after="0"/>
              <w:rPr>
                <w:sz w:val="1"/>
                <w:szCs w:val="1"/>
                <w:color w:val="auto"/>
              </w:rPr>
            </w:pPr>
          </w:p>
        </w:tc>
      </w:tr>
      <w:tr>
        <w:trPr>
          <w:trHeight w:val="146"/>
        </w:trPr>
        <w:tc>
          <w:tcPr>
            <w:tcW w:w="560" w:type="dxa"/>
            <w:vAlign w:val="bottom"/>
          </w:tcPr>
          <w:p>
            <w:pPr>
              <w:spacing w:after="0"/>
              <w:rPr>
                <w:sz w:val="12"/>
                <w:szCs w:val="12"/>
                <w:color w:val="auto"/>
              </w:rPr>
            </w:pPr>
          </w:p>
        </w:tc>
        <w:tc>
          <w:tcPr>
            <w:tcW w:w="162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Prior Year to Last</w:t>
            </w:r>
          </w:p>
        </w:tc>
        <w:tc>
          <w:tcPr>
            <w:tcW w:w="12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0" w:type="dxa"/>
            <w:vAlign w:val="bottom"/>
          </w:tcPr>
          <w:p>
            <w:pPr>
              <w:spacing w:after="0"/>
              <w:rPr>
                <w:sz w:val="1"/>
                <w:szCs w:val="1"/>
                <w:color w:val="auto"/>
              </w:rPr>
            </w:pPr>
          </w:p>
        </w:tc>
      </w:tr>
      <w:tr>
        <w:trPr>
          <w:trHeight w:val="137"/>
        </w:trPr>
        <w:tc>
          <w:tcPr>
            <w:tcW w:w="560" w:type="dxa"/>
            <w:vAlign w:val="bottom"/>
          </w:tcPr>
          <w:p>
            <w:pPr>
              <w:spacing w:after="0"/>
              <w:rPr>
                <w:sz w:val="11"/>
                <w:szCs w:val="11"/>
                <w:color w:val="auto"/>
              </w:rPr>
            </w:pPr>
          </w:p>
        </w:tc>
        <w:tc>
          <w:tcPr>
            <w:tcW w:w="1620" w:type="dxa"/>
            <w:vAlign w:val="bottom"/>
          </w:tcPr>
          <w:p>
            <w:pPr>
              <w:jc w:val="center"/>
              <w:ind w:left="148"/>
              <w:spacing w:after="0" w:line="137" w:lineRule="exact"/>
              <w:rPr>
                <w:sz w:val="20"/>
                <w:szCs w:val="20"/>
                <w:color w:val="auto"/>
              </w:rPr>
            </w:pPr>
            <w:r>
              <w:rPr>
                <w:rFonts w:ascii="Times New Roman" w:cs="Times New Roman" w:eastAsia="Times New Roman" w:hAnsi="Times New Roman"/>
                <w:sz w:val="14"/>
                <w:szCs w:val="14"/>
                <w:b w:val="1"/>
                <w:bCs w:val="1"/>
                <w:color w:val="auto"/>
              </w:rPr>
              <w:t>Year That Remained</w:t>
            </w:r>
          </w:p>
        </w:tc>
        <w:tc>
          <w:tcPr>
            <w:tcW w:w="14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Day of Year of</w:t>
            </w:r>
          </w:p>
        </w:tc>
        <w:tc>
          <w:tcPr>
            <w:tcW w:w="128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1620" w:type="dxa"/>
            <w:vAlign w:val="bottom"/>
          </w:tcPr>
          <w:p>
            <w:pPr>
              <w:jc w:val="center"/>
              <w:ind w:left="148"/>
              <w:spacing w:after="0" w:line="149" w:lineRule="exact"/>
              <w:rPr>
                <w:sz w:val="20"/>
                <w:szCs w:val="20"/>
                <w:color w:val="auto"/>
              </w:rPr>
            </w:pPr>
            <w:r>
              <w:rPr>
                <w:rFonts w:ascii="Times New Roman" w:cs="Times New Roman" w:eastAsia="Times New Roman" w:hAnsi="Times New Roman"/>
                <w:sz w:val="14"/>
                <w:szCs w:val="14"/>
                <w:b w:val="1"/>
                <w:bCs w:val="1"/>
                <w:color w:val="auto"/>
              </w:rPr>
              <w:t>Unvested as of Last</w:t>
            </w: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28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0" w:type="dxa"/>
            <w:vAlign w:val="bottom"/>
          </w:tcPr>
          <w:p>
            <w:pPr>
              <w:spacing w:after="0"/>
              <w:rPr>
                <w:sz w:val="1"/>
                <w:szCs w:val="1"/>
                <w:color w:val="auto"/>
              </w:rPr>
            </w:pPr>
          </w:p>
        </w:tc>
      </w:tr>
      <w:tr>
        <w:trPr>
          <w:trHeight w:val="146"/>
        </w:trPr>
        <w:tc>
          <w:tcPr>
            <w:tcW w:w="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20" w:type="dxa"/>
            <w:vAlign w:val="bottom"/>
          </w:tcPr>
          <w:p>
            <w:pPr>
              <w:jc w:val="center"/>
              <w:ind w:left="148"/>
              <w:spacing w:after="0" w:line="146" w:lineRule="exact"/>
              <w:rPr>
                <w:sz w:val="20"/>
                <w:szCs w:val="20"/>
                <w:color w:val="auto"/>
              </w:rPr>
            </w:pPr>
            <w:r>
              <w:rPr>
                <w:rFonts w:ascii="Times New Roman" w:cs="Times New Roman" w:eastAsia="Times New Roman" w:hAnsi="Times New Roman"/>
                <w:sz w:val="14"/>
                <w:szCs w:val="14"/>
                <w:b w:val="1"/>
                <w:bCs w:val="1"/>
                <w:color w:val="auto"/>
              </w:rPr>
              <w:t>Day of Year for</w:t>
            </w: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for Brian O.</w:t>
            </w:r>
          </w:p>
        </w:tc>
        <w:tc>
          <w:tcPr>
            <w:tcW w:w="128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for Brian O. Casey</w:t>
            </w:r>
          </w:p>
        </w:tc>
        <w:tc>
          <w:tcPr>
            <w:tcW w:w="0" w:type="dxa"/>
            <w:vAlign w:val="bottom"/>
          </w:tcPr>
          <w:p>
            <w:pPr>
              <w:spacing w:after="0"/>
              <w:rPr>
                <w:sz w:val="1"/>
                <w:szCs w:val="1"/>
                <w:color w:val="auto"/>
              </w:rPr>
            </w:pPr>
          </w:p>
        </w:tc>
      </w:tr>
      <w:tr>
        <w:trPr>
          <w:trHeight w:val="190"/>
        </w:trPr>
        <w:tc>
          <w:tcPr>
            <w:tcW w:w="560" w:type="dxa"/>
            <w:vAlign w:val="bottom"/>
            <w:vMerge w:val="continue"/>
          </w:tcPr>
          <w:p>
            <w:pPr>
              <w:spacing w:after="0"/>
              <w:rPr>
                <w:sz w:val="16"/>
                <w:szCs w:val="16"/>
                <w:color w:val="auto"/>
              </w:rPr>
            </w:pPr>
          </w:p>
        </w:tc>
        <w:tc>
          <w:tcPr>
            <w:tcW w:w="162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Casey ($)</w:t>
            </w:r>
          </w:p>
        </w:tc>
        <w:tc>
          <w:tcPr>
            <w:tcW w:w="12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4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 Last</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Dividends or</w:t>
            </w: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4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w w:val="99"/>
              </w:rPr>
              <w:t>Prior Year to Vesting</w:t>
            </w: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0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Date of Unvested</w:t>
            </w: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Day of Prior Year of</w:t>
            </w: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Other Earnings Paid</w:t>
            </w: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400" w:type="dxa"/>
            <w:vAlign w:val="bottom"/>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Equity Awards that</w:t>
            </w: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on Equity Awards</w:t>
            </w:r>
          </w:p>
        </w:tc>
        <w:tc>
          <w:tcPr>
            <w:tcW w:w="126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Total - Inclusion of</w:t>
            </w:r>
          </w:p>
        </w:tc>
        <w:tc>
          <w:tcPr>
            <w:tcW w:w="0" w:type="dxa"/>
            <w:vAlign w:val="bottom"/>
          </w:tcPr>
          <w:p>
            <w:pPr>
              <w:spacing w:after="0"/>
              <w:rPr>
                <w:sz w:val="1"/>
                <w:szCs w:val="1"/>
                <w:color w:val="auto"/>
              </w:rPr>
            </w:pPr>
          </w:p>
        </w:tc>
      </w:tr>
      <w:tr>
        <w:trPr>
          <w:trHeight w:val="148"/>
        </w:trPr>
        <w:tc>
          <w:tcPr>
            <w:tcW w:w="14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Forfeited During</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Otherwise</w:t>
            </w: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400" w:type="dxa"/>
            <w:vAlign w:val="bottom"/>
          </w:tcPr>
          <w:p>
            <w:pPr>
              <w:jc w:val="center"/>
              <w:ind w:right="8"/>
              <w:spacing w:after="0" w:line="137" w:lineRule="exact"/>
              <w:rPr>
                <w:sz w:val="20"/>
                <w:szCs w:val="20"/>
                <w:color w:val="auto"/>
              </w:rPr>
            </w:pPr>
            <w:r>
              <w:rPr>
                <w:rFonts w:ascii="Times New Roman" w:cs="Times New Roman" w:eastAsia="Times New Roman" w:hAnsi="Times New Roman"/>
                <w:sz w:val="14"/>
                <w:szCs w:val="14"/>
                <w:b w:val="1"/>
                <w:bCs w:val="1"/>
                <w:color w:val="auto"/>
              </w:rPr>
              <w:t>for Brian O. Casey</w:t>
            </w: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Year for Brian O.</w:t>
            </w:r>
          </w:p>
        </w:tc>
        <w:tc>
          <w:tcPr>
            <w:tcW w:w="15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Included for Brian</w:t>
            </w:r>
          </w:p>
        </w:tc>
        <w:tc>
          <w:tcPr>
            <w:tcW w:w="1260" w:type="dxa"/>
            <w:vAlign w:val="bottom"/>
          </w:tcPr>
          <w:p>
            <w:pPr>
              <w:jc w:val="center"/>
              <w:ind w:left="48"/>
              <w:spacing w:after="0" w:line="137"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90"/>
        </w:trPr>
        <w:tc>
          <w:tcPr>
            <w:tcW w:w="14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Casey ($)</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 Casey ($)</w:t>
            </w:r>
          </w:p>
        </w:tc>
        <w:tc>
          <w:tcPr>
            <w:tcW w:w="126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Brian O. Casey ($)</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320" w:space="180"/>
            <w:col w:w="5680"/>
          </w:cols>
          <w:pgMar w:left="320" w:top="575" w:right="399" w:bottom="1440" w:gutter="0" w:footer="0" w:header="0"/>
          <w:type w:val="continuous"/>
        </w:sectPr>
      </w:pPr>
    </w:p>
    <w:tbl>
      <w:tblPr>
        <w:tblLayout w:type="fixed"/>
        <w:tblInd w:w="0" w:type="dxa"/>
        <w:tblCellMar>
          <w:top w:w="0" w:type="dxa"/>
          <w:left w:w="0" w:type="dxa"/>
          <w:bottom w:w="0" w:type="dxa"/>
          <w:right w:w="0" w:type="dxa"/>
        </w:tblCellMar>
      </w:tblPr>
      <w:tr>
        <w:trPr>
          <w:trHeight w:val="219"/>
        </w:trPr>
        <w:tc>
          <w:tcPr>
            <w:tcW w:w="104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216,117</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216,117</w:t>
            </w:r>
          </w:p>
        </w:tc>
      </w:tr>
      <w:tr>
        <w:trPr>
          <w:trHeight w:val="281"/>
        </w:trPr>
        <w:tc>
          <w:tcPr>
            <w:tcW w:w="1040" w:type="dxa"/>
            <w:vAlign w:val="bottom"/>
          </w:tcPr>
          <w:p>
            <w:pPr>
              <w:jc w:val="center"/>
              <w:ind w:right="219"/>
              <w:spacing w:after="0"/>
              <w:rPr>
                <w:sz w:val="20"/>
                <w:szCs w:val="20"/>
                <w:color w:val="auto"/>
              </w:rPr>
            </w:pPr>
            <w:r>
              <w:rPr>
                <w:rFonts w:ascii="Times New Roman" w:cs="Times New Roman" w:eastAsia="Times New Roman" w:hAnsi="Times New Roman"/>
                <w:sz w:val="16"/>
                <w:szCs w:val="16"/>
                <w:color w:val="auto"/>
              </w:rPr>
              <w:t>2021</w:t>
            </w:r>
            <w:r>
              <w:rPr>
                <w:rFonts w:ascii="Times New Roman" w:cs="Times New Roman" w:eastAsia="Times New Roman" w:hAnsi="Times New Roman"/>
                <w:sz w:val="21"/>
                <w:szCs w:val="21"/>
                <w:color w:val="auto"/>
                <w:vertAlign w:val="superscript"/>
              </w:rPr>
              <w:t>1</w:t>
            </w:r>
          </w:p>
        </w:tc>
        <w:tc>
          <w:tcPr>
            <w:tcW w:w="14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39,252</w:t>
            </w:r>
          </w:p>
        </w:tc>
        <w:tc>
          <w:tcPr>
            <w:tcW w:w="80" w:type="dxa"/>
            <w:vAlign w:val="bottom"/>
          </w:tcPr>
          <w:p>
            <w:pPr>
              <w:spacing w:after="0"/>
              <w:rPr>
                <w:sz w:val="24"/>
                <w:szCs w:val="24"/>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39,252</w:t>
            </w:r>
          </w:p>
        </w:tc>
      </w:tr>
    </w:tbl>
    <w:p>
      <w:pPr>
        <w:spacing w:after="0" w:line="89" w:lineRule="exact"/>
        <w:rPr>
          <w:sz w:val="20"/>
          <w:szCs w:val="20"/>
          <w:color w:val="auto"/>
        </w:rPr>
      </w:pPr>
    </w:p>
    <w:p>
      <w:pPr>
        <w:ind w:left="100" w:hanging="92"/>
        <w:spacing w:after="0"/>
        <w:tabs>
          <w:tab w:leader="none" w:pos="100" w:val="left"/>
        </w:tabs>
        <w:numPr>
          <w:ilvl w:val="0"/>
          <w:numId w:val="5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Mr. Casey had no unvested equity awards as of December 31, 2021, due to the fact that no shares were awarded to him in 2019 and 2020.</w:t>
      </w:r>
    </w:p>
    <w:p>
      <w:pPr>
        <w:sectPr>
          <w:pgSz w:w="11900" w:h="16838" w:orient="portrait"/>
          <w:cols w:equalWidth="0" w:num="1">
            <w:col w:w="11180"/>
          </w:cols>
          <w:pgMar w:left="320" w:top="575" w:right="399" w:bottom="1440" w:gutter="0" w:footer="0" w:header="0"/>
          <w:type w:val="continuous"/>
        </w:sectPr>
      </w:pP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Average Year-End</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Vesting-</w:t>
            </w:r>
          </w:p>
        </w:tc>
        <w:tc>
          <w:tcPr>
            <w:tcW w:w="0" w:type="dxa"/>
            <w:vAlign w:val="bottom"/>
          </w:tcPr>
          <w:p>
            <w:pPr>
              <w:spacing w:after="0"/>
              <w:rPr>
                <w:sz w:val="1"/>
                <w:szCs w:val="1"/>
                <w:color w:val="auto"/>
              </w:rPr>
            </w:pPr>
          </w:p>
        </w:tc>
      </w:tr>
      <w:tr>
        <w:trPr>
          <w:trHeight w:val="146"/>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420" w:type="dxa"/>
            <w:vAlign w:val="bottom"/>
            <w:gridSpan w:val="2"/>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4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Date Fair Value of</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During Year That</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Remained Unvested</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of</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as of Last Day of</w:t>
            </w:r>
          </w:p>
        </w:tc>
        <w:tc>
          <w:tcPr>
            <w:tcW w:w="14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3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w w:val="98"/>
              </w:rPr>
              <w:t>Year that Vested</w:t>
            </w:r>
          </w:p>
        </w:tc>
        <w:tc>
          <w:tcPr>
            <w:tcW w:w="0" w:type="dxa"/>
            <w:vAlign w:val="bottom"/>
          </w:tcPr>
          <w:p>
            <w:pPr>
              <w:spacing w:after="0"/>
              <w:rPr>
                <w:sz w:val="1"/>
                <w:szCs w:val="1"/>
                <w:color w:val="auto"/>
              </w:rPr>
            </w:pPr>
          </w:p>
        </w:tc>
      </w:tr>
      <w:tr>
        <w:trPr>
          <w:trHeight w:val="148"/>
        </w:trPr>
        <w:tc>
          <w:tcPr>
            <w:tcW w:w="11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Year for Non-PEO</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w:t>
            </w: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0" w:type="dxa"/>
            <w:vAlign w:val="bottom"/>
          </w:tcPr>
          <w:p>
            <w:pPr>
              <w:spacing w:after="0"/>
              <w:rPr>
                <w:sz w:val="1"/>
                <w:szCs w:val="1"/>
                <w:color w:val="auto"/>
              </w:rPr>
            </w:pPr>
          </w:p>
        </w:tc>
      </w:tr>
      <w:tr>
        <w:trPr>
          <w:trHeight w:val="198"/>
        </w:trPr>
        <w:tc>
          <w:tcPr>
            <w:tcW w:w="1180" w:type="dxa"/>
            <w:vAlign w:val="bottom"/>
            <w:gridSpan w:val="2"/>
            <w:vMerge w:val="continue"/>
          </w:tcPr>
          <w:p>
            <w:pPr>
              <w:spacing w:after="0"/>
              <w:rPr>
                <w:sz w:val="17"/>
                <w:szCs w:val="17"/>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0" w:type="dxa"/>
            <w:vAlign w:val="bottom"/>
          </w:tcPr>
          <w:p>
            <w:pPr>
              <w:spacing w:after="0"/>
              <w:rPr>
                <w:sz w:val="1"/>
                <w:szCs w:val="1"/>
                <w:color w:val="auto"/>
              </w:rPr>
            </w:pPr>
          </w:p>
        </w:tc>
      </w:tr>
      <w:tr>
        <w:trPr>
          <w:trHeight w:val="209"/>
        </w:trPr>
        <w:tc>
          <w:tcPr>
            <w:tcW w:w="1040" w:type="dxa"/>
            <w:vAlign w:val="bottom"/>
            <w:tcBorders>
              <w:top w:val="single" w:sz="8" w:color="auto"/>
            </w:tcBorders>
          </w:tcPr>
          <w:p>
            <w:pPr>
              <w:jc w:val="right"/>
              <w:ind w:right="282"/>
              <w:spacing w:after="0"/>
              <w:rPr>
                <w:sz w:val="20"/>
                <w:szCs w:val="20"/>
                <w:color w:val="auto"/>
              </w:rPr>
            </w:pPr>
            <w:r>
              <w:rPr>
                <w:rFonts w:ascii="Times New Roman" w:cs="Times New Roman" w:eastAsia="Times New Roman" w:hAnsi="Times New Roman"/>
                <w:sz w:val="16"/>
                <w:szCs w:val="16"/>
                <w:color w:val="auto"/>
              </w:rPr>
              <w:t>2022</w:t>
            </w:r>
          </w:p>
        </w:tc>
        <w:tc>
          <w:tcPr>
            <w:tcW w:w="140" w:type="dxa"/>
            <w:vAlign w:val="bottom"/>
          </w:tcPr>
          <w:p>
            <w:pPr>
              <w:spacing w:after="0"/>
              <w:rPr>
                <w:sz w:val="18"/>
                <w:szCs w:val="18"/>
                <w:color w:val="auto"/>
              </w:rPr>
            </w:pPr>
          </w:p>
        </w:tc>
        <w:tc>
          <w:tcPr>
            <w:tcW w:w="1360" w:type="dxa"/>
            <w:vAlign w:val="bottom"/>
            <w:tcBorders>
              <w:top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rPr>
              <w:t>170,408</w:t>
            </w:r>
          </w:p>
        </w:tc>
        <w:tc>
          <w:tcPr>
            <w:tcW w:w="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(64,449)</w:t>
            </w:r>
          </w:p>
        </w:tc>
        <w:tc>
          <w:tcPr>
            <w:tcW w:w="80" w:type="dxa"/>
            <w:vAlign w:val="bottom"/>
          </w:tcPr>
          <w:p>
            <w:pPr>
              <w:spacing w:after="0"/>
              <w:rPr>
                <w:sz w:val="18"/>
                <w:szCs w:val="18"/>
                <w:color w:val="auto"/>
              </w:rPr>
            </w:pPr>
          </w:p>
        </w:tc>
        <w:tc>
          <w:tcPr>
            <w:tcW w:w="1360" w:type="dxa"/>
            <w:vAlign w:val="bottom"/>
            <w:tcBorders>
              <w:top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04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20211</w:t>
            </w:r>
          </w:p>
        </w:tc>
        <w:tc>
          <w:tcPr>
            <w:tcW w:w="140" w:type="dxa"/>
            <w:vAlign w:val="bottom"/>
          </w:tcPr>
          <w:p>
            <w:pPr>
              <w:spacing w:after="0"/>
              <w:rPr>
                <w:sz w:val="18"/>
                <w:szCs w:val="18"/>
                <w:color w:val="auto"/>
              </w:rPr>
            </w:pPr>
          </w:p>
        </w:tc>
        <w:tc>
          <w:tcPr>
            <w:tcW w:w="136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229,631</w:t>
            </w:r>
          </w:p>
        </w:tc>
        <w:tc>
          <w:tcPr>
            <w:tcW w:w="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43,226</w:t>
            </w:r>
          </w:p>
        </w:tc>
        <w:tc>
          <w:tcPr>
            <w:tcW w:w="80" w:type="dxa"/>
            <w:vAlign w:val="bottom"/>
          </w:tcPr>
          <w:p>
            <w:pPr>
              <w:spacing w:after="0"/>
              <w:rPr>
                <w:sz w:val="18"/>
                <w:szCs w:val="18"/>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Average Value of</w:t>
            </w: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44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4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Average Fair Value</w:t>
            </w:r>
          </w:p>
        </w:tc>
        <w:tc>
          <w:tcPr>
            <w:tcW w:w="144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440" w:type="dxa"/>
            <w:vAlign w:val="bottom"/>
            <w:gridSpan w:val="2"/>
            <w:vMerge w:val="continue"/>
          </w:tcPr>
          <w:p>
            <w:pPr>
              <w:spacing w:after="0"/>
              <w:rPr>
                <w:sz w:val="11"/>
                <w:szCs w:val="11"/>
                <w:color w:val="auto"/>
              </w:rPr>
            </w:pPr>
          </w:p>
        </w:tc>
        <w:tc>
          <w:tcPr>
            <w:tcW w:w="14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Dividends or Other</w:t>
            </w:r>
          </w:p>
        </w:tc>
        <w:tc>
          <w:tcPr>
            <w:tcW w:w="1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at Last Day of Prior</w:t>
            </w: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Earnings Paid on</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48"/>
        </w:trPr>
        <w:tc>
          <w:tcPr>
            <w:tcW w:w="14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 of Equity</w:t>
            </w: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Not</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Awards that Vested</w:t>
            </w:r>
          </w:p>
        </w:tc>
        <w:tc>
          <w:tcPr>
            <w:tcW w:w="14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Awards Forfeited</w:t>
            </w:r>
          </w:p>
        </w:tc>
        <w:tc>
          <w:tcPr>
            <w:tcW w:w="144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4"/>
                <w:szCs w:val="14"/>
                <w:b w:val="1"/>
                <w:bCs w:val="1"/>
                <w:color w:val="auto"/>
              </w:rPr>
              <w:t>Otherwise Included</w:t>
            </w:r>
          </w:p>
        </w:tc>
        <w:tc>
          <w:tcPr>
            <w:tcW w:w="13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Inclusion of</w:t>
            </w:r>
          </w:p>
        </w:tc>
        <w:tc>
          <w:tcPr>
            <w:tcW w:w="0" w:type="dxa"/>
            <w:vAlign w:val="bottom"/>
          </w:tcPr>
          <w:p>
            <w:pPr>
              <w:spacing w:after="0"/>
              <w:rPr>
                <w:sz w:val="1"/>
                <w:szCs w:val="1"/>
                <w:color w:val="auto"/>
              </w:rPr>
            </w:pPr>
          </w:p>
        </w:tc>
      </w:tr>
      <w:tr>
        <w:trPr>
          <w:trHeight w:val="148"/>
        </w:trPr>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14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14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1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98"/>
        </w:trPr>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4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PEO NEOs ($)</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0" w:type="dxa"/>
            <w:vAlign w:val="bottom"/>
          </w:tcPr>
          <w:p>
            <w:pPr>
              <w:spacing w:after="0"/>
              <w:rPr>
                <w:sz w:val="1"/>
                <w:szCs w:val="1"/>
                <w:color w:val="auto"/>
              </w:rPr>
            </w:pPr>
          </w:p>
        </w:tc>
      </w:tr>
      <w:tr>
        <w:trPr>
          <w:trHeight w:val="209"/>
        </w:trPr>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80" w:type="dxa"/>
            <w:vAlign w:val="bottom"/>
          </w:tcPr>
          <w:p>
            <w:pPr>
              <w:spacing w:after="0"/>
              <w:rPr>
                <w:sz w:val="18"/>
                <w:szCs w:val="18"/>
                <w:color w:val="auto"/>
              </w:rPr>
            </w:pPr>
          </w:p>
        </w:tc>
        <w:tc>
          <w:tcPr>
            <w:tcW w:w="136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60" w:type="dxa"/>
            <w:vAlign w:val="bottom"/>
            <w:tcBorders>
              <w:top w:val="single" w:sz="8" w:color="auto"/>
            </w:tcBorders>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3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6"/>
                <w:szCs w:val="16"/>
                <w:color w:val="auto"/>
              </w:rPr>
              <w:t>105,648</w:t>
            </w:r>
          </w:p>
        </w:tc>
        <w:tc>
          <w:tcPr>
            <w:tcW w:w="0" w:type="dxa"/>
            <w:vAlign w:val="bottom"/>
          </w:tcPr>
          <w:p>
            <w:pPr>
              <w:spacing w:after="0"/>
              <w:rPr>
                <w:sz w:val="1"/>
                <w:szCs w:val="1"/>
                <w:color w:val="auto"/>
              </w:rPr>
            </w:pPr>
          </w:p>
        </w:tc>
      </w:tr>
      <w:tr>
        <w:trPr>
          <w:trHeight w:val="216"/>
        </w:trPr>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80" w:type="dxa"/>
            <w:vAlign w:val="bottom"/>
          </w:tcPr>
          <w:p>
            <w:pPr>
              <w:spacing w:after="0"/>
              <w:rPr>
                <w:sz w:val="18"/>
                <w:szCs w:val="18"/>
                <w:color w:val="auto"/>
              </w:rPr>
            </w:pP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286,709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-278765</wp:posOffset>
            </wp:positionV>
            <wp:extent cx="708914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9140" cy="146050"/>
                    </a:xfrm>
                    <a:prstGeom prst="rect">
                      <a:avLst/>
                    </a:prstGeom>
                    <a:noFill/>
                  </pic:spPr>
                </pic:pic>
              </a:graphicData>
            </a:graphic>
          </wp:anchor>
        </w:drawing>
      </w:r>
    </w:p>
    <w:p>
      <w:pPr>
        <w:spacing w:after="0" w:line="186" w:lineRule="exact"/>
        <w:rPr>
          <w:sz w:val="20"/>
          <w:szCs w:val="20"/>
          <w:color w:val="auto"/>
        </w:rPr>
      </w:pPr>
    </w:p>
    <w:p>
      <w:pPr>
        <w:sectPr>
          <w:pgSz w:w="11900" w:h="16838" w:orient="portrait"/>
          <w:cols w:equalWidth="0" w:num="2">
            <w:col w:w="5400" w:space="80"/>
            <w:col w:w="5700"/>
          </w:cols>
          <w:pgMar w:left="320" w:top="575"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PEO and Non-PEO NEO Compensation Actually Paid and Company Total Shareholder Return ("TSR")</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the Company’s cumulative TSR over the two most recently completed fiscal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Relationship Between PEO and Non-PEO NEO Compensation Actually Paid and Net Income (Loss)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Income (Loss) during the two most recently completed fiscal years.</w:t>
      </w:r>
    </w:p>
    <w:p>
      <w:pPr>
        <w:spacing w:after="0" w:line="5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80"/>
          </w:cols>
          <w:pgMar w:left="320" w:top="575" w:right="399" w:bottom="1440" w:gutter="0" w:footer="0" w:header="0"/>
          <w:type w:val="continuous"/>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363220</wp:posOffset>
            </wp:positionV>
            <wp:extent cx="5932170" cy="7115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32170" cy="7115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019"/>
          </w:cols>
          <w:pgMar w:left="1440" w:top="1440" w:right="1440"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BDO USA, LLP as Independent Auditors</w:t>
      </w:r>
    </w:p>
    <w:p>
      <w:pPr>
        <w:spacing w:after="0" w:line="121"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Our Audit Committee has appointed BDO USA, LLP ("BDO") as our independent auditors for 2023. Representatives of BDO will attend the annual meeting to answer questions and may make a statement if they so desire.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Billed by BDO and Deloitte &amp; Touche LLP</w:t>
      </w:r>
    </w:p>
    <w:p>
      <w:pPr>
        <w:spacing w:after="0" w:line="121"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BDO was appointed to serve as independent auditor for the Company in 2022. In addition to performing the audit of the Company's consolidated financial statements, BDO also provides various other services to the Company and to common trust funds sponsored by Westwood Trust. The following table presents aggregate fees billed to the Company and the common trust funds by BDO as well as Deloitte &amp; Touche LLP ("Deloitte") for the years ended December 31, 2022 and December 31, 2021. Because we changed auditors from Deloitte to BDO in 2022, we have included fees charged to us by both accounting firms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140" w:type="dxa"/>
            <w:vAlign w:val="bottom"/>
            <w:gridSpan w:val="6"/>
          </w:tcPr>
          <w:p>
            <w:pPr>
              <w:jc w:val="center"/>
              <w:ind w:left="698"/>
              <w:spacing w:after="0"/>
              <w:rPr>
                <w:sz w:val="20"/>
                <w:szCs w:val="20"/>
                <w:color w:val="auto"/>
              </w:rPr>
            </w:pPr>
            <w:r>
              <w:rPr>
                <w:rFonts w:ascii="Times New Roman" w:cs="Times New Roman" w:eastAsia="Times New Roman" w:hAnsi="Times New Roman"/>
                <w:sz w:val="14"/>
                <w:szCs w:val="14"/>
                <w:b w:val="1"/>
                <w:bCs w:val="1"/>
                <w:color w:val="auto"/>
              </w:rPr>
              <w:t>Fiscal Year Ended December 31,</w:t>
            </w:r>
          </w:p>
        </w:tc>
        <w:tc>
          <w:tcPr>
            <w:tcW w:w="1060" w:type="dxa"/>
            <w:vAlign w:val="bottom"/>
          </w:tcPr>
          <w:p>
            <w:pPr>
              <w:spacing w:after="0"/>
              <w:rPr>
                <w:sz w:val="16"/>
                <w:szCs w:val="16"/>
                <w:color w:val="auto"/>
              </w:rPr>
            </w:pPr>
          </w:p>
        </w:tc>
      </w:tr>
      <w:tr>
        <w:trPr>
          <w:trHeight w:val="23"/>
        </w:trPr>
        <w:tc>
          <w:tcPr>
            <w:tcW w:w="67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60" w:type="dxa"/>
            <w:vAlign w:val="bottom"/>
            <w:tcBorders>
              <w:bottom w:val="single" w:sz="8" w:color="auto"/>
            </w:tcBorders>
          </w:tcPr>
          <w:p>
            <w:pPr>
              <w:spacing w:after="0"/>
              <w:rPr>
                <w:sz w:val="16"/>
                <w:szCs w:val="16"/>
                <w:color w:val="auto"/>
              </w:rPr>
            </w:pPr>
          </w:p>
        </w:tc>
      </w:tr>
      <w:tr>
        <w:trPr>
          <w:trHeight w:val="196"/>
        </w:trPr>
        <w:tc>
          <w:tcPr>
            <w:tcW w:w="6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Deloitte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Deloitte</w:t>
            </w:r>
          </w:p>
        </w:tc>
        <w:tc>
          <w:tcPr>
            <w:tcW w:w="380" w:type="dxa"/>
            <w:vAlign w:val="bottom"/>
          </w:tcPr>
          <w:p>
            <w:pPr>
              <w:spacing w:after="0"/>
              <w:rPr>
                <w:sz w:val="17"/>
                <w:szCs w:val="17"/>
                <w:color w:val="auto"/>
              </w:rPr>
            </w:pPr>
          </w:p>
        </w:tc>
        <w:tc>
          <w:tcPr>
            <w:tcW w:w="10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BDO</w:t>
            </w:r>
          </w:p>
        </w:tc>
      </w:tr>
      <w:tr>
        <w:trPr>
          <w:trHeight w:val="229"/>
        </w:trPr>
        <w:tc>
          <w:tcPr>
            <w:tcW w:w="6760" w:type="dxa"/>
            <w:vAlign w:val="bottom"/>
            <w:tcBorders>
              <w:top w:val="single" w:sz="8" w:color="CCEEFF"/>
            </w:tcBorders>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569,000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551,000</w:t>
            </w:r>
          </w:p>
        </w:tc>
      </w:tr>
      <w:tr>
        <w:trPr>
          <w:trHeight w:val="229"/>
        </w:trPr>
        <w:tc>
          <w:tcPr>
            <w:tcW w:w="67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268,000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165,000</w:t>
            </w:r>
          </w:p>
        </w:tc>
      </w:tr>
      <w:tr>
        <w:trPr>
          <w:trHeight w:val="230"/>
        </w:trPr>
        <w:tc>
          <w:tcPr>
            <w:tcW w:w="67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114,000</w:t>
            </w:r>
          </w:p>
        </w:tc>
      </w:tr>
      <w:tr>
        <w:trPr>
          <w:trHeight w:val="223"/>
        </w:trPr>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990,000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320,000</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830,000</w:t>
            </w:r>
          </w:p>
        </w:tc>
      </w:tr>
      <w:tr>
        <w:trPr>
          <w:trHeight w:val="21"/>
        </w:trPr>
        <w:tc>
          <w:tcPr>
            <w:tcW w:w="6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1380" w:hanging="562"/>
        <w:spacing w:after="0" w:line="261" w:lineRule="auto"/>
        <w:tabs>
          <w:tab w:leader="none" w:pos="112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professional services in connection with the audit of our annual financial statements, the review of the financial statements included in our Form 10-Qs and testing required by Sarbanes-Oxley Section 404, as well as for services that are normally provided in connection with statutory or regulatory filings or engagements.</w:t>
      </w:r>
    </w:p>
    <w:p>
      <w:pPr>
        <w:ind w:left="1380" w:right="180" w:hanging="562"/>
        <w:spacing w:after="0" w:line="261" w:lineRule="auto"/>
        <w:tabs>
          <w:tab w:leader="none" w:pos="1125"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financial audit services to common trust funds sponsored by Westwood Trust. These fees are not paid by Westwood but are paid by the common trust funds.</w:t>
      </w:r>
    </w:p>
    <w:p>
      <w:pPr>
        <w:ind w:left="1120" w:hanging="302"/>
        <w:spacing w:after="0"/>
        <w:tabs>
          <w:tab w:leader="none" w:pos="11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aggregate fees billed for tax services provided to the common trust funds. These fees were partly paid by the common trust funds.</w:t>
      </w:r>
    </w:p>
    <w:p>
      <w:pPr>
        <w:spacing w:after="0" w:line="99" w:lineRule="exact"/>
        <w:rPr>
          <w:sz w:val="20"/>
          <w:szCs w:val="20"/>
          <w:color w:val="auto"/>
        </w:rPr>
      </w:pPr>
    </w:p>
    <w:p>
      <w:pPr>
        <w:ind w:right="2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Pre-approval policies and procedures for audit and non-audit services. </w:t>
      </w:r>
      <w:r>
        <w:rPr>
          <w:rFonts w:ascii="Times New Roman" w:cs="Times New Roman" w:eastAsia="Times New Roman" w:hAnsi="Times New Roman"/>
          <w:sz w:val="18"/>
          <w:szCs w:val="18"/>
          <w:color w:val="auto"/>
        </w:rPr>
        <w:t>The Audit Committee has established a policy regarding pre-approval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audit and non-audit services provided by our independent auditors. Each year the Audit Committee considers for approval the independent auditor's engagement to render audit services, as well as a list prepared by management of anticipated non-audit services and related budget estimates. During the course of the year, management and the independent auditor are responsible for tracking all services and fees to ensure that they are within the scope pre-approved by the Audit Committee. To ensure prompt handling of unexpected matters, the Audit Committee has delegated to its chairperson the authority to represent the Committee in reviewing and approving audit and non-audit services, however, the Committee must ratify any such actions by the chairperson.</w:t>
      </w:r>
    </w:p>
    <w:p>
      <w:pPr>
        <w:spacing w:after="0" w:line="76" w:lineRule="exact"/>
        <w:rPr>
          <w:sz w:val="20"/>
          <w:szCs w:val="20"/>
          <w:color w:val="auto"/>
        </w:rPr>
      </w:pPr>
    </w:p>
    <w:p>
      <w:pPr>
        <w:ind w:right="440" w:firstLine="405"/>
        <w:spacing w:after="0" w:line="375" w:lineRule="auto"/>
        <w:rPr>
          <w:sz w:val="20"/>
          <w:szCs w:val="20"/>
          <w:color w:val="auto"/>
        </w:rPr>
      </w:pPr>
      <w:r>
        <w:rPr>
          <w:rFonts w:ascii="Times New Roman" w:cs="Times New Roman" w:eastAsia="Times New Roman" w:hAnsi="Times New Roman"/>
          <w:sz w:val="18"/>
          <w:szCs w:val="18"/>
          <w:color w:val="auto"/>
        </w:rPr>
        <w:t xml:space="preserve">The Audit Committee or the chairperson acting on its behalf pre-approved all services provided by BDO for the year ended December 31, 2022. </w:t>
      </w:r>
      <w:r>
        <w:rPr>
          <w:rFonts w:ascii="Times New Roman" w:cs="Times New Roman" w:eastAsia="Times New Roman" w:hAnsi="Times New Roman"/>
          <w:sz w:val="18"/>
          <w:szCs w:val="18"/>
          <w:b w:val="1"/>
          <w:bCs w:val="1"/>
          <w:color w:val="auto"/>
        </w:rPr>
        <w:t>Vote Sought and Recommendation</w:t>
      </w:r>
    </w:p>
    <w:p>
      <w:pPr>
        <w:spacing w:after="0" w:line="1"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Although stockholder action on this matter is not required, the appointment of BDO is being recommended to the stockholders for ratification. The affirmative "FOR" vote of a majority of the votes cast at the annual meeting will serve to ratify the appointment of BDO as independent auditors for 2023. Abstentions will not affect the outcome of a vote on this proposal.</w:t>
      </w:r>
    </w:p>
    <w:p>
      <w:pPr>
        <w:spacing w:after="0" w:line="64" w:lineRule="exact"/>
        <w:rPr>
          <w:sz w:val="20"/>
          <w:szCs w:val="20"/>
          <w:color w:val="auto"/>
        </w:rPr>
      </w:pPr>
    </w:p>
    <w:p>
      <w:pPr>
        <w:jc w:val="center"/>
        <w:ind w:left="340"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THE RATIFICATION OF THE APPOINTMENT OF BDO AS OUR INDEPENDENT AUDITORS FOR 2023.</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441"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Approval of the Ninth Amended and Restated</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Westwood Holdings Group, Inc. Stock Incentive Plan</w:t>
      </w:r>
    </w:p>
    <w:p>
      <w:pPr>
        <w:spacing w:after="0" w:line="99" w:lineRule="exact"/>
        <w:rPr>
          <w:sz w:val="20"/>
          <w:szCs w:val="20"/>
          <w:color w:val="auto"/>
        </w:rPr>
      </w:pPr>
    </w:p>
    <w:p>
      <w:pPr>
        <w:ind w:firstLine="486"/>
        <w:spacing w:after="0" w:line="272" w:lineRule="auto"/>
        <w:rPr>
          <w:sz w:val="20"/>
          <w:szCs w:val="20"/>
          <w:color w:val="auto"/>
        </w:rPr>
      </w:pPr>
      <w:r>
        <w:rPr>
          <w:rFonts w:ascii="Times New Roman" w:cs="Times New Roman" w:eastAsia="Times New Roman" w:hAnsi="Times New Roman"/>
          <w:sz w:val="17"/>
          <w:szCs w:val="17"/>
          <w:color w:val="auto"/>
        </w:rPr>
        <w:t>The Compensation and Human Capital Committee (the “Committee”) and the Board of Directors have approved and have proposed that our stockholders approve the Ninth (the “Amendment”) Amended and Restated Westwood Holdings Group, Inc. Stock Incentive Plan (the "Plan") at the annual meeting. Westwood originally adopted the Plan on February 1, 2002. On April 27, 2022, our stockholders approved the Plan (effective as of March 2,</w:t>
      </w:r>
    </w:p>
    <w:p>
      <w:pPr>
        <w:spacing w:after="0" w:line="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2022), with a reserve of 5,898,100 shares of common stock. If approved by our stockholders, the Plan will be amended to increase the maximum number of shares available for issuance by 350,000 shares to 6,248,100 shares.</w:t>
      </w:r>
    </w:p>
    <w:p>
      <w:pPr>
        <w:spacing w:after="0" w:line="73"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Westwood is seeking stockholder approval for the Amendment. Stockholder approval is required under the requirements of the NYSE Corporate Governance Listing Standards, which are applicable to Westwood.</w:t>
      </w:r>
    </w:p>
    <w:p>
      <w:pPr>
        <w:spacing w:after="0" w:line="54"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Awards under the Plan are a major component of our long-term incentive program for our employees and members of our Board. As noted in the "Executive Compensation" section, we recognize that having an ownership interest in the Company is critical to aligning the financial interests of our employees and stockholders. The Committee believes it is important to authorize an additional 350,000 shares for granting under the Plan. As of March 1, 2023, approximately 5,740,218 shares had been issued under the Plan, leaving 157,731] shares available under the Plan for issuance. The Committee does not believe that this amount is sufficient to meet the Company's anticipated grants of awards through the date of our 2024 Annual Meeting of Stockholders. If stockholders do not approve the Amendment, the Plan will remain in effect; however, we anticipate the shares available for equity-based compensation will be quickly depleted, and we will lose the ability to use equity as a compensation tool. Based on our historical granting practices, the Committee believes that the additional shares requested will enable the Company to maintain its current equity compensation program for at least two years; however, it plans to request additional shares on an annual basis to accommodate anticipated grants related to the hiring, retention and promotion of employees. In 2022, 2021 and 2020, the number of shares of common stock underlying equity awards granted was approximately 380,000, 150,000, and 260,000, respectively. The Committee expects to continue to grant awards under the Plan consistent with the Company's historical share utilization rates.</w:t>
      </w:r>
    </w:p>
    <w:p>
      <w:pPr>
        <w:spacing w:after="0" w:line="84"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Our equity plan dilution rate (or overhang) as of fiscal-year ended December 31, 2022 was 16.1% (calculated by dividing (1) the number of shares subject to awards outstanding as of December 31, 2022 plus the number of shares remaining available for issuance as of December 31, 2022, by (2) our fully diluted shares outstanding as of December 31, 2022. Our equity plan dilution rate as of March 1, 2023 was also 13.5%, calculated using the same methodology. If shareholders approve our share request, the issuance of an additional 350,000 shares would increase our dilution rate by 3.8%.We believe that the expected potential dilution that will result from the Plan is reasonable for a Company of our size in our industry.</w:t>
      </w:r>
    </w:p>
    <w:p>
      <w:pPr>
        <w:spacing w:after="0" w:line="75"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As highlighted below, the Plan includes several features that are consistent with protecting the interests of our stockholders and sound corporate governance practices, including the following:</w:t>
      </w:r>
    </w:p>
    <w:p>
      <w:pPr>
        <w:spacing w:after="0" w:line="54" w:lineRule="exact"/>
        <w:rPr>
          <w:sz w:val="20"/>
          <w:szCs w:val="20"/>
          <w:color w:val="auto"/>
        </w:rPr>
      </w:pPr>
    </w:p>
    <w:p>
      <w:pPr>
        <w:ind w:left="660" w:right="32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Vesting Limitations. Awards granted under the Plan will vest no earlier than the first anniversary of the date an award is granted, with a carve-out exception for up to 5% of the aggregate shares available for issuance under the Plan.</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7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Discount Stock Options. The Plan prohibits the grant of a stock option with an exercise price less than the fair market value of Westwood's stock on the date of grant.</w:t>
      </w:r>
    </w:p>
    <w:p>
      <w:pPr>
        <w:spacing w:after="0" w:line="53"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Repricing or Cash Buyouts. The Plan prohibits the repricing or replacement of stock options or stock appreciation rights without stockholder approval.</w:t>
      </w:r>
    </w:p>
    <w:p>
      <w:pPr>
        <w:spacing w:after="0" w:line="53"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and Dividend Equivalents Not Paid Until Award Vests. Any dividends paid with respect to restricted stock or dividend equivalents paid with respect to restricted stock units will be subject to the same restrictions on vesting as the award with respect to which they are paid.</w:t>
      </w:r>
    </w:p>
    <w:p>
      <w:pPr>
        <w:spacing w:after="0" w:line="53" w:lineRule="exact"/>
        <w:rPr>
          <w:rFonts w:ascii="Times New Roman" w:cs="Times New Roman" w:eastAsia="Times New Roman" w:hAnsi="Times New Roman"/>
          <w:sz w:val="18"/>
          <w:szCs w:val="18"/>
          <w:color w:val="auto"/>
        </w:rPr>
      </w:pPr>
    </w:p>
    <w:p>
      <w:pPr>
        <w:ind w:left="660" w:right="240" w:hanging="328"/>
        <w:spacing w:after="0" w:line="266" w:lineRule="auto"/>
        <w:tabs>
          <w:tab w:leader="none" w:pos="65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to Non-Employee Directors. In any calendar year, the grant of an award to a non-employee director, acting in his or her capacity as director, taken together with fees paid in cash to the non-employee director, cannot exceed $350,000 for a non-employee director other than the Chairman of the Board, or $500,000 for the Chairman of the Board.</w:t>
      </w:r>
    </w:p>
    <w:p>
      <w:pPr>
        <w:spacing w:after="0" w:line="6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We have more fully described these plan features in the description of the Plan, as amended, provided below, as well as in the full text of the Plan included in Appendix A to this proxy statement.</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20"/>
          </w:cols>
          <w:pgMar w:left="320" w:top="441" w:right="359"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the Ninth Amended and Restated Plan, as amended</w:t>
      </w:r>
    </w:p>
    <w:p>
      <w:pPr>
        <w:spacing w:after="0" w:line="119" w:lineRule="exact"/>
        <w:rPr>
          <w:sz w:val="20"/>
          <w:szCs w:val="20"/>
          <w:color w:val="auto"/>
        </w:rPr>
      </w:pPr>
    </w:p>
    <w:p>
      <w:pPr>
        <w:ind w:right="460" w:firstLine="445"/>
        <w:spacing w:after="0" w:line="282" w:lineRule="auto"/>
        <w:rPr>
          <w:sz w:val="20"/>
          <w:szCs w:val="20"/>
          <w:color w:val="auto"/>
        </w:rPr>
      </w:pPr>
      <w:r>
        <w:rPr>
          <w:rFonts w:ascii="Times New Roman" w:cs="Times New Roman" w:eastAsia="Times New Roman" w:hAnsi="Times New Roman"/>
          <w:sz w:val="18"/>
          <w:szCs w:val="18"/>
          <w:color w:val="auto"/>
        </w:rPr>
        <w:t xml:space="preserve">A summary of the material features of the Plan, as it would be amended, is set forth below. This description and summary are qualified in their entirety by the full text of the Plan included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w:t>
      </w:r>
    </w:p>
    <w:p>
      <w:pPr>
        <w:spacing w:after="0" w:line="52" w:lineRule="exact"/>
        <w:rPr>
          <w:sz w:val="20"/>
          <w:szCs w:val="20"/>
          <w:color w:val="auto"/>
        </w:rPr>
      </w:pPr>
    </w:p>
    <w:p>
      <w:pPr>
        <w:ind w:right="40" w:firstLine="445"/>
        <w:spacing w:after="0" w:line="270" w:lineRule="auto"/>
        <w:rPr>
          <w:sz w:val="20"/>
          <w:szCs w:val="20"/>
          <w:color w:val="auto"/>
        </w:rPr>
      </w:pPr>
      <w:r>
        <w:rPr>
          <w:rFonts w:ascii="Times New Roman" w:cs="Times New Roman" w:eastAsia="Times New Roman" w:hAnsi="Times New Roman"/>
          <w:sz w:val="17"/>
          <w:szCs w:val="17"/>
          <w:i w:val="1"/>
          <w:iCs w:val="1"/>
          <w:color w:val="auto"/>
        </w:rPr>
        <w:t>Key Features of the Plan</w:t>
      </w:r>
      <w:r>
        <w:rPr>
          <w:rFonts w:ascii="Times New Roman" w:cs="Times New Roman" w:eastAsia="Times New Roman" w:hAnsi="Times New Roman"/>
          <w:sz w:val="17"/>
          <w:szCs w:val="17"/>
          <w:color w:val="auto"/>
        </w:rPr>
        <w:t>. Awards under the Plan will consist of cash or Westwood's authorized common stock. The fair market value of Westwood's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common stock as of March 1, 2023 was $13.06 per share. The Plan provides for the grant of incentive stock options, nonstatutory options, shares of restricted stock, stock appreciation rights, restricted stock units, annual incentive awards, performance-based awards (in the form of cash or deferred stock awards) and discretionary bonus awards. Awards under the Plan may be made to key employees, including officers and directors who may be employees, and non-employee directors or advisors. There are currently 152 Westwood employees and five non-employee directors who may be eligible to receive awards under the Plan. The total number of shares of common stock available pursuant to awards under the Plan over its entire term is 6,248,100, plus any shares of common stock represented by awards under the Plan that are forfeited, terminated, expired, or canceled without delivery of shares of common stock. Any shares issued under the Plan may consist, in whole or in part, of authorized and unissued shares or forfeited shares, or a combination thereof. Shares that are exchanged by a participant or withheld by the Company as full or partial payment of the exercise price of a stock option or to cover any taxes payable as a result of the grant, exercise, vesting or settlement of an award, will not be available for issuance under the Plan. Subject to adjustment, no more than 316,033 shares of common stock may be covered by stock-based awards granted to any participant under the Plan in a calendar year.</w:t>
      </w:r>
    </w:p>
    <w:p>
      <w:pPr>
        <w:spacing w:after="0" w:line="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Term of the Plan. </w:t>
      </w:r>
      <w:r>
        <w:rPr>
          <w:rFonts w:ascii="Times New Roman" w:cs="Times New Roman" w:eastAsia="Times New Roman" w:hAnsi="Times New Roman"/>
          <w:sz w:val="18"/>
          <w:szCs w:val="18"/>
          <w:color w:val="auto"/>
        </w:rPr>
        <w:t>No awards may be made under the Plan after March 10, 2027.</w:t>
      </w:r>
    </w:p>
    <w:p>
      <w:pPr>
        <w:spacing w:after="0" w:line="117" w:lineRule="exact"/>
        <w:rPr>
          <w:sz w:val="20"/>
          <w:szCs w:val="20"/>
          <w:color w:val="auto"/>
        </w:rPr>
      </w:pPr>
    </w:p>
    <w:p>
      <w:pPr>
        <w:ind w:right="160"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Plan authorizes the grant of several types of stock-based awards, including, without limitation, incentive stock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("ISOs"), nonstatutory stock options ("NSOs"), restricted stock, stock appreciation rights ("SARs"), restricted stock units ("RSUs"), performance-based shares and other stock-based awards. The Plan also authorizes cash awards, including annual incentive awards, performance-based awards, and discretionary bonus awards. The various types of awards authorized under the Plan may be utilized in the future if determined appropriate by the Compensation and Human Capital Committee. To date the Committee has only granted stock-based awards under the Plan in the form of restricted stock and NSOs.</w:t>
      </w:r>
    </w:p>
    <w:p>
      <w:pPr>
        <w:spacing w:after="0" w:line="74" w:lineRule="exact"/>
        <w:rPr>
          <w:sz w:val="20"/>
          <w:szCs w:val="20"/>
          <w:color w:val="auto"/>
        </w:rPr>
      </w:pPr>
    </w:p>
    <w:p>
      <w:pPr>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Award Vesting Limitations</w:t>
      </w:r>
      <w:r>
        <w:rPr>
          <w:rFonts w:ascii="Times New Roman" w:cs="Times New Roman" w:eastAsia="Times New Roman" w:hAnsi="Times New Roman"/>
          <w:sz w:val="18"/>
          <w:szCs w:val="18"/>
          <w:color w:val="auto"/>
        </w:rPr>
        <w:t>. Awards granted under the Plan will vest no earlier than the first anniversary of the date an award is granted, with a carve-out exception for up to 5% of the aggregate shares available for issuance under the Plan.</w:t>
      </w:r>
    </w:p>
    <w:p>
      <w:pPr>
        <w:spacing w:after="0" w:line="50" w:lineRule="exact"/>
        <w:rPr>
          <w:sz w:val="20"/>
          <w:szCs w:val="20"/>
          <w:color w:val="auto"/>
        </w:rPr>
      </w:pPr>
    </w:p>
    <w:p>
      <w:pPr>
        <w:ind w:right="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No Discount Stock Options</w:t>
      </w:r>
      <w:r>
        <w:rPr>
          <w:rFonts w:ascii="Times New Roman" w:cs="Times New Roman" w:eastAsia="Times New Roman" w:hAnsi="Times New Roman"/>
          <w:sz w:val="18"/>
          <w:szCs w:val="18"/>
          <w:color w:val="auto"/>
        </w:rPr>
        <w:t>. The Plan prohibits the grant of a stock option with an exercise price less than the fair market value of Westwood's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date of grant.</w:t>
      </w:r>
    </w:p>
    <w:p>
      <w:pPr>
        <w:spacing w:after="0" w:line="50" w:lineRule="exact"/>
        <w:rPr>
          <w:sz w:val="20"/>
          <w:szCs w:val="20"/>
          <w:color w:val="auto"/>
        </w:rPr>
      </w:pPr>
    </w:p>
    <w:p>
      <w:pPr>
        <w:ind w:right="1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Share Counting Rules</w:t>
      </w:r>
      <w:r>
        <w:rPr>
          <w:rFonts w:ascii="Times New Roman" w:cs="Times New Roman" w:eastAsia="Times New Roman" w:hAnsi="Times New Roman"/>
          <w:sz w:val="18"/>
          <w:szCs w:val="18"/>
          <w:color w:val="auto"/>
        </w:rPr>
        <w:t>. Any shares subject to an award under the Plan that are forfeited, settled for cash, expire, or otherwise are terminated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of such shares, become available for awards under the Plan. In addition, cash awards do not reduce the shares available under the Plan or to a participant in any calendar year.</w:t>
      </w:r>
    </w:p>
    <w:p>
      <w:pPr>
        <w:spacing w:after="0" w:line="65" w:lineRule="exact"/>
        <w:rPr>
          <w:sz w:val="20"/>
          <w:szCs w:val="20"/>
          <w:color w:val="auto"/>
        </w:rPr>
      </w:pPr>
    </w:p>
    <w:p>
      <w:pPr>
        <w:jc w:val="both"/>
        <w:ind w:right="8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Unless our Board of Directors determines otherwise, the Plan will be administered by the Committee, whose determinations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and binding on any interested person. Such determinations include selecting participants, determining awards made under the Plan, interpreting plan provisions, and deciding the terms and conditions of any award.</w:t>
      </w:r>
    </w:p>
    <w:p>
      <w:pPr>
        <w:spacing w:after="0" w:line="65" w:lineRule="exact"/>
        <w:rPr>
          <w:sz w:val="20"/>
          <w:szCs w:val="20"/>
          <w:color w:val="auto"/>
        </w:rPr>
      </w:pPr>
    </w:p>
    <w:p>
      <w:pPr>
        <w:ind w:right="12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Amendment</w:t>
      </w:r>
      <w:r>
        <w:rPr>
          <w:rFonts w:ascii="Times New Roman" w:cs="Times New Roman" w:eastAsia="Times New Roman" w:hAnsi="Times New Roman"/>
          <w:sz w:val="18"/>
          <w:szCs w:val="18"/>
          <w:color w:val="auto"/>
        </w:rPr>
        <w:t>. The Plan may be amended by the Board of Directors or by the Committee. Amendments will be subject to stockholder approval if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required by applicable law, regulations or rules. Any amendment that would increase the aggregate number of shares of stock that may be issued under the Plan must be approved by our stockholders.</w:t>
      </w:r>
    </w:p>
    <w:p>
      <w:pPr>
        <w:spacing w:after="0" w:line="6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Antidilution</w:t>
      </w:r>
      <w:r>
        <w:rPr>
          <w:rFonts w:ascii="Times New Roman" w:cs="Times New Roman" w:eastAsia="Times New Roman" w:hAnsi="Times New Roman"/>
          <w:sz w:val="18"/>
          <w:szCs w:val="18"/>
          <w:color w:val="auto"/>
        </w:rPr>
        <w:t>. In the event of any stock dividend, stock split, reverse stock split, recapitalization, combination, reclassification or similar change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structure of the Company, appropriate adjustments will be made in the number and class of shares subject to the Plan and to any outstanding awards (if applicable) and in the exercise price per share of any outstanding awards (if applicable), as the Committee or the Board of Directors determines fair and equitable.</w:t>
      </w:r>
    </w:p>
    <w:p>
      <w:pPr>
        <w:spacing w:after="0" w:line="72" w:lineRule="exact"/>
        <w:rPr>
          <w:sz w:val="20"/>
          <w:szCs w:val="20"/>
          <w:color w:val="auto"/>
        </w:rPr>
      </w:pPr>
    </w:p>
    <w:p>
      <w:pPr>
        <w:jc w:val="both"/>
        <w:ind w:right="6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Persons Eligible for Grants</w:t>
      </w:r>
      <w:r>
        <w:rPr>
          <w:rFonts w:ascii="Times New Roman" w:cs="Times New Roman" w:eastAsia="Times New Roman" w:hAnsi="Times New Roman"/>
          <w:sz w:val="18"/>
          <w:szCs w:val="18"/>
          <w:color w:val="auto"/>
        </w:rPr>
        <w:t>. Any employee or non-employee director of Westwood or any of its parents or subsidiaries is eligible to be selected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receive an award under the Plan as determined by the Committee, acting in its discretion. ISOs will be granted only to participants who are employees of Westwood or a subsidiary thereof.</w:t>
      </w:r>
    </w:p>
    <w:p>
      <w:pPr>
        <w:spacing w:after="0" w:line="65" w:lineRule="exact"/>
        <w:rPr>
          <w:sz w:val="20"/>
          <w:szCs w:val="20"/>
          <w:color w:val="auto"/>
        </w:rPr>
      </w:pPr>
    </w:p>
    <w:p>
      <w:pPr>
        <w:ind w:right="18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In the event of a change in control, each outstanding award under the Plan shall become 100% vested and exercisable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ten (10) days prior to the date of the change in control.</w:t>
      </w:r>
    </w:p>
    <w:p>
      <w:pPr>
        <w:spacing w:after="0" w:line="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80"/>
          </w:cols>
          <w:pgMar w:left="320" w:top="551" w:right="399"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Types of Awards</w:t>
      </w:r>
    </w:p>
    <w:p>
      <w:pPr>
        <w:spacing w:after="0" w:line="11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Options</w:t>
      </w:r>
      <w:r>
        <w:rPr>
          <w:rFonts w:ascii="Times New Roman" w:cs="Times New Roman" w:eastAsia="Times New Roman" w:hAnsi="Times New Roman"/>
          <w:sz w:val="18"/>
          <w:szCs w:val="18"/>
          <w:color w:val="auto"/>
        </w:rPr>
        <w:t>. ISOs and NSOs are stock options allowing the recipient to purchase a fixed number of shares of common stock at a fixed price (which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less than the fair market value on the option grant date as determined under the Plan). Options will be exercisable at such time or times, or upon such event or events, and subject to such terms, conditions, performance criteria and restrictions as shall be determined by the Committee and set forth in the option agreement evidencing such option; provided, however, that (i) no option shall be exercisable after the expiration of ten years after the effective date of grant of such option, (ii) no ISO granted to a stockholder who owns more than ten percent of our common stock will be exercisable after the expiration of five years after the effective date of grant of such option, and (iii) no option granted to a prospective employee, prospective consultant or prospective director may become exercisable prior to the date on which such person commences service with the Company. Subject to the foregoing, unless otherwise specified by the Committee in the grant of an option, any option granted hereunder shall terminate ten years after the effective date of grant of the option, unless earlier terminated in accordance with its provisions.</w:t>
      </w:r>
    </w:p>
    <w:p>
      <w:pPr>
        <w:spacing w:after="0" w:line="82"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Subject to the limitations of the Plan, payment of the exercise price of an option shall be made (i) in cash, by check or cash equivalent, (ii) by tender to the Company, or attestation to the ownership, of shares of our common stock owned by the participant having a fair market value not less than the exercise price, (iii) through the cashless exercise procedures set forth in the Plan, (iv) with such other considerations approved by the Committee to the extent permitted by applicable law, or (v) by any combination thereof.</w:t>
      </w:r>
    </w:p>
    <w:p>
      <w:pPr>
        <w:spacing w:after="0" w:line="7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Restricted Stock Awards</w:t>
      </w:r>
      <w:r>
        <w:rPr>
          <w:rFonts w:ascii="Times New Roman" w:cs="Times New Roman" w:eastAsia="Times New Roman" w:hAnsi="Times New Roman"/>
          <w:sz w:val="18"/>
          <w:szCs w:val="18"/>
          <w:color w:val="auto"/>
        </w:rPr>
        <w:t>. The Committee may also make awards of restricted shares of our stock. The vesting of restricted stock may be conditioned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upon the lapse of time and/or the satisfaction of other factors determined by the Committee. Unless the Committee determines otherwise, the recipient of restricted shares will generally have the right to vote the shares. Dividends and dividend equivalents will not be payable with respect to restricted stock; however, the Committee may provide that dividends will be accrued with respect to restricted shares (at the same rate paid to our stockholders generally) and, if so, that the dividends will be subject to the vesting conditions applicable to the corresponding restricted stock. None of the restricted shares may be sold, transferred or pledged during the restricted period, and, except for termination due to death or as otherwise determined by the Committee, all restricted shares shall be forfeited and, all rights to the shares will terminate, if the recipient ceases to be an employee, consultant or director of the Company or any of our subsidiaries before the expiration or termination of the restricted period and satisfaction of any other conditions prescribed by us with respect to the shares.</w:t>
      </w:r>
    </w:p>
    <w:p>
      <w:pPr>
        <w:spacing w:after="0" w:line="80"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Stock Appreciation Rights</w:t>
      </w:r>
      <w:r>
        <w:rPr>
          <w:rFonts w:ascii="Times New Roman" w:cs="Times New Roman" w:eastAsia="Times New Roman" w:hAnsi="Times New Roman"/>
          <w:sz w:val="18"/>
          <w:szCs w:val="18"/>
          <w:color w:val="auto"/>
        </w:rPr>
        <w:t>. The Committee may also make awards of SARs, which allow the recipient to exercise all or a specified portion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SAR for an amount equal to the product of (i) the excess of (A) the fair market value of the shares of our stock on the date the SAR is exercised over (B) the grant price of the SAR and (ii) the number of shares of our stock with respect to which the SAR was exercised. Payment will be in cash, shares of our stock or a combination thereof, as determined by the Committee. Dividends and dividend equivalents will not be payable with respect to SARs.</w:t>
      </w:r>
    </w:p>
    <w:p>
      <w:pPr>
        <w:spacing w:after="0" w:line="7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Restricted Stock Units</w:t>
      </w:r>
      <w:r>
        <w:rPr>
          <w:rFonts w:ascii="Times New Roman" w:cs="Times New Roman" w:eastAsia="Times New Roman" w:hAnsi="Times New Roman"/>
          <w:sz w:val="18"/>
          <w:szCs w:val="18"/>
          <w:color w:val="auto"/>
        </w:rPr>
        <w:t>. The Compensation and Human Capital Committee may also make awards of RSUs. The settlement of RSUs may be satisfied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delivery of shares of our stock, cash in an amount equal to the fair market value of the specified number of shares of our stock, or a combination thereof, as determined by the Committee. Dividends and dividend equivalents will not be payable with respect to RSUs, however the Committee may provide that dividends will be accrued with respect to RSUs (at the same rate that is paid to our stockholders generally) and, if so, that the dividends will be subject to the vesting conditions applicable to the corresponding RSUs.</w:t>
      </w:r>
    </w:p>
    <w:p>
      <w:pPr>
        <w:spacing w:after="0" w:line="75"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Committee may also make awards denominated or payable in, valued in whole or in part by reference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based on shares of our stock, including without limitation purchase rights for shares of our stock, awards with value and payment contingent upon performance of the Company or any other factors designated by the Committee, and awards valued by reference to the book value of a share of our stock.</w:t>
      </w:r>
    </w:p>
    <w:p>
      <w:pPr>
        <w:spacing w:after="0" w:line="72" w:lineRule="exact"/>
        <w:rPr>
          <w:sz w:val="20"/>
          <w:szCs w:val="20"/>
          <w:color w:val="auto"/>
        </w:rPr>
      </w:pPr>
    </w:p>
    <w:p>
      <w:pPr>
        <w:ind w:right="16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Awards to Non-Employee Directors</w:t>
      </w:r>
      <w:r>
        <w:rPr>
          <w:rFonts w:ascii="Times New Roman" w:cs="Times New Roman" w:eastAsia="Times New Roman" w:hAnsi="Times New Roman"/>
          <w:sz w:val="18"/>
          <w:szCs w:val="18"/>
          <w:color w:val="auto"/>
        </w:rPr>
        <w:t>. Non-employee directors are eligible to receive any type of award under the Plan other than ISOs. The grant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award to a non-employee director, acting in his or her capacity as director, taken together with fees paid in cash to the non-employee director, cannot exceed $350,000 for a non-employee director other than the Chairman of the Board, or $500,000 for the Chairman of the Board.</w:t>
      </w:r>
    </w:p>
    <w:p>
      <w:pPr>
        <w:spacing w:after="0" w:line="65"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i w:val="1"/>
          <w:iCs w:val="1"/>
          <w:color w:val="auto"/>
        </w:rPr>
        <w:t>Annual Incentive Awards</w:t>
      </w:r>
      <w:r>
        <w:rPr>
          <w:rFonts w:ascii="Times New Roman" w:cs="Times New Roman" w:eastAsia="Times New Roman" w:hAnsi="Times New Roman"/>
          <w:sz w:val="18"/>
          <w:szCs w:val="18"/>
          <w:color w:val="auto"/>
        </w:rPr>
        <w:t>. The Committee may also grant annual incentive awards of stock, cash or any combination of stock and cash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and other eligible persons, in such amounts and subject to such terms and conditions as the Committee may determine. The Committee shall establish the maximum level of annual incentive awards that may be granted for each year. The Committee may, in its sole discretion, reduce, but not increase, the proposed annual incentive award payable to any participating employee during a year.</w:t>
      </w:r>
    </w:p>
    <w:p>
      <w:pPr>
        <w:spacing w:after="0" w:line="72" w:lineRule="exact"/>
        <w:rPr>
          <w:sz w:val="20"/>
          <w:szCs w:val="20"/>
          <w:color w:val="auto"/>
        </w:rPr>
      </w:pPr>
    </w:p>
    <w:p>
      <w:pPr>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Performance-Based Awards</w:t>
      </w:r>
      <w:r>
        <w:rPr>
          <w:rFonts w:ascii="Times New Roman" w:cs="Times New Roman" w:eastAsia="Times New Roman" w:hAnsi="Times New Roman"/>
          <w:sz w:val="18"/>
          <w:szCs w:val="18"/>
          <w:color w:val="auto"/>
        </w:rPr>
        <w:t>. The Plan allows the Committee to grant awards the vesting, exercise or settlement of which is contingent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one or more performance conditions. The list of performance measures upon which performance goals may be based currently includes: (i) net earnings or net income (loss) (before or after taxes, depreciation and amortization); (ii) cash earnings; (iii) earnings per share; (iv) net sales or revenue growth; (v) net operating income; (vi) return measures (including, but not limited to, return on assets, capital, invested capital, equity, sales, or revenue); (vii) cash flow (including, but not limited to, operating cash flow, free cash flow, cash flow return on equity, and cash flow return on investment (discounted or otherwise)); (viii) operating income before interest, taxes, depreciation and amortization; (ix) return</w:t>
      </w:r>
    </w:p>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20"/>
          </w:cols>
          <w:pgMar w:left="320" w:top="551" w:right="359" w:bottom="1440" w:gutter="0" w:footer="0" w:header="0"/>
        </w:sectPr>
      </w:pPr>
    </w:p>
    <w:bookmarkStart w:id="35" w:name="page36"/>
    <w:bookmarkEnd w:id="35"/>
    <w:p>
      <w:pPr>
        <w:ind w:right="20"/>
        <w:spacing w:after="0" w:line="252" w:lineRule="auto"/>
        <w:rPr>
          <w:sz w:val="20"/>
          <w:szCs w:val="20"/>
          <w:color w:val="auto"/>
        </w:rPr>
      </w:pPr>
      <w:r>
        <w:rPr>
          <w:rFonts w:ascii="Times New Roman" w:cs="Times New Roman" w:eastAsia="Times New Roman" w:hAnsi="Times New Roman"/>
          <w:sz w:val="18"/>
          <w:szCs w:val="18"/>
          <w:color w:val="auto"/>
        </w:rPr>
        <w:t>on stockholders' equity; (x) operating margins or operating expenses; (xi) value of the Company's stock or total return to stockholders; (xii) value of an investment in the Company's stock assuming the reinvestment of dividends; (xiii) assets under management; (xiv) performance of one or more of our investment products on an absolute basis or relative to a benchmark or peer group; (xv) adjusted pre-tax income; (xvi) cost targets, reductions and savings, productivity and efficiencies; (xvii) 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 (xviii) 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 (xix) any other criteria selected by the Committee; and/or (xx) a combination of any or all of the foregoing criteria. Any evaluation of performance in relation to performance-based awards may include or exclude, as applicable: asset write-downs, litigation or claim judgments or settlements, changes in tax laws, accounting principles or other laws or provisions, reorganization or restructuring programs, acquisitions or divestitures, foreign exchange gains and losses, or gains and losses that are treated as unusual in nature or what occur infrequently under Accounting Standards Codification Topic 225. Nothing amended and restated in the Plan is intended to materially amend any outstanding performance-based award granted on or before November 2, 2017 that was designed to qualify as "performance-based compensation" under Section 162(m) of the Internal Revenue Code (as in effect prior to the Tax Cute and Jobs Act of 2017).</w:t>
      </w:r>
    </w:p>
    <w:p>
      <w:pPr>
        <w:spacing w:after="0" w:line="86" w:lineRule="exact"/>
        <w:rPr>
          <w:sz w:val="20"/>
          <w:szCs w:val="20"/>
          <w:color w:val="auto"/>
        </w:rPr>
      </w:pPr>
    </w:p>
    <w:p>
      <w:pPr>
        <w:ind w:right="1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Discretionary Bonus Awards</w:t>
      </w:r>
      <w:r>
        <w:rPr>
          <w:rFonts w:ascii="Times New Roman" w:cs="Times New Roman" w:eastAsia="Times New Roman" w:hAnsi="Times New Roman"/>
          <w:sz w:val="18"/>
          <w:szCs w:val="18"/>
          <w:color w:val="auto"/>
        </w:rPr>
        <w:t>. The Committee may also grant discretionary bonus awards of stock, cash or any combination of stock and cash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and key employees in such amounts and subject to such terms and conditions as the Committee may determine.</w:t>
      </w:r>
    </w:p>
    <w:p>
      <w:pPr>
        <w:spacing w:after="0" w:line="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Material Federal Income Tax Consequences of the Plan</w:t>
      </w:r>
    </w:p>
    <w:p>
      <w:pPr>
        <w:spacing w:after="0" w:line="11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The following is a summary of material United States federal income tax consequences associated with awards granted under the Plan based upon present federal income tax laws and regulations and does not purport to be a complete description of the federal income tax consequences applicable to a participant or to Westwood. This summary does not cover any federal employment tax consequences or any foreign, state, local, estate and gift, or other tax consequences.</w:t>
      </w:r>
    </w:p>
    <w:p>
      <w:pPr>
        <w:spacing w:after="0" w:line="70" w:lineRule="exact"/>
        <w:rPr>
          <w:sz w:val="20"/>
          <w:szCs w:val="20"/>
          <w:color w:val="auto"/>
        </w:rPr>
      </w:pPr>
    </w:p>
    <w:p>
      <w:pPr>
        <w:ind w:right="20" w:firstLine="445"/>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A participant will generally not recognize any taxable income upon either the grant or exercise of an ISO. However,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purposes of the alternative minimum tax, upon the exercise of an ISO, a participant is required to include the difference between the option exercise price and the fair market value of the common stock received in alternative minimum taxable income for purposes of calculating the alternative minimum tax. If a participant sells or otherwise disposes of the common stock acquired pursuant to the exercise of an ISO within either two years from the date of grant or one year from the date of exercise of the option (an "Early Disposition"), the participant will recognize ordinary income at the time of the Early Disposition in an amount equal to the lesser of (i) the excess of the amount realized by the participant on the Early Disposition over the exercise price of the option, or</w:t>
      </w:r>
    </w:p>
    <w:p>
      <w:pPr>
        <w:spacing w:after="0" w:line="2" w:lineRule="exact"/>
        <w:rPr>
          <w:sz w:val="20"/>
          <w:szCs w:val="20"/>
          <w:color w:val="auto"/>
        </w:rPr>
      </w:pPr>
    </w:p>
    <w:p>
      <w:pPr>
        <w:ind w:firstLine="8"/>
        <w:spacing w:after="0" w:line="253" w:lineRule="auto"/>
        <w:tabs>
          <w:tab w:leader="none" w:pos="26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the fair market value of the common stock on the date of exercise over the exercise price of the option. The excess, if any, of the amount realized by the participant on the Early Disposition over the fair market value of the common stock on the date of exercise will be treated as a capital gain, and will either be short term (taxable at ordinary income tax rates) or long term gain, depending on the participant's holding period. If a participant disposes of the common stock for an amount below the participant's tax basis, the difference between the amount realized in the Early Disposition and the tax basis will generally be a capital loss and will either be short-term or long-term depending on the participant's holding period.</w:t>
      </w:r>
    </w:p>
    <w:p>
      <w:pPr>
        <w:spacing w:after="0" w:line="77" w:lineRule="exact"/>
        <w:rPr>
          <w:sz w:val="20"/>
          <w:szCs w:val="20"/>
          <w:color w:val="auto"/>
        </w:rPr>
      </w:pPr>
    </w:p>
    <w:p>
      <w:pPr>
        <w:ind w:right="40"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Nonqualified Stock Options. </w:t>
      </w:r>
      <w:r>
        <w:rPr>
          <w:rFonts w:ascii="Times New Roman" w:cs="Times New Roman" w:eastAsia="Times New Roman" w:hAnsi="Times New Roman"/>
          <w:sz w:val="18"/>
          <w:szCs w:val="18"/>
          <w:color w:val="auto"/>
        </w:rPr>
        <w:t>A participant will not recognize any taxable income upon the grant of an NSO. In general, a participant will recognize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income upon the exercise of an NSO in an amount equal to the difference between the fair market value of the common stock received on the date of exercise and the exercise price paid for the stock.</w:t>
      </w:r>
    </w:p>
    <w:p>
      <w:pPr>
        <w:spacing w:after="0" w:line="65" w:lineRule="exact"/>
        <w:rPr>
          <w:sz w:val="20"/>
          <w:szCs w:val="20"/>
          <w:color w:val="auto"/>
        </w:rPr>
      </w:pPr>
    </w:p>
    <w:p>
      <w:pPr>
        <w:ind w:right="220"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Annual Incentive Awards, Performance-Based Awards and Discretionary Bonus Awards. </w:t>
      </w:r>
      <w:r>
        <w:rPr>
          <w:rFonts w:ascii="Times New Roman" w:cs="Times New Roman" w:eastAsia="Times New Roman" w:hAnsi="Times New Roman"/>
          <w:sz w:val="18"/>
          <w:szCs w:val="18"/>
          <w:color w:val="auto"/>
        </w:rPr>
        <w:t>In general, a participant who receives cash pursuant to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award made under the Plan will recognize ordinary income equal to the amount of cash that is received. Except as discussed below in the section entitled </w:t>
      </w:r>
      <w:r>
        <w:rPr>
          <w:rFonts w:ascii="Times New Roman" w:cs="Times New Roman" w:eastAsia="Times New Roman" w:hAnsi="Times New Roman"/>
          <w:sz w:val="18"/>
          <w:szCs w:val="18"/>
          <w:i w:val="1"/>
          <w:iCs w:val="1"/>
          <w:color w:val="auto"/>
        </w:rPr>
        <w:t>"Common Stock Subject to a Substantial Risk of Forfeiture,"</w:t>
      </w:r>
      <w:r>
        <w:rPr>
          <w:rFonts w:ascii="Times New Roman" w:cs="Times New Roman" w:eastAsia="Times New Roman" w:hAnsi="Times New Roman"/>
          <w:sz w:val="18"/>
          <w:szCs w:val="18"/>
          <w:color w:val="auto"/>
        </w:rPr>
        <w:t xml:space="preserve"> a participant who receives shares of common stock pursuant to an award under the Plan will recognize ordinary income at the time the shares are received in an amount equal to the fair market value of the shares.</w:t>
      </w:r>
    </w:p>
    <w:p>
      <w:pPr>
        <w:spacing w:after="0" w:line="72"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Common Stock Subject to a Substantial Risk of Forfeiture. </w:t>
      </w:r>
      <w:r>
        <w:rPr>
          <w:rFonts w:ascii="Times New Roman" w:cs="Times New Roman" w:eastAsia="Times New Roman" w:hAnsi="Times New Roman"/>
          <w:sz w:val="18"/>
          <w:szCs w:val="18"/>
          <w:color w:val="auto"/>
        </w:rPr>
        <w:t>In general, if a participant receives common stock pursuant to an award made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that is subject to a substantial risk of forfeiture, then, unless the participant files an early income recognition election under Section 83(b) of the Internal Revenue Code of 1986, as amended ("Section 83(b)") (discussed below), the participant will not recognize any income at the time of receipt of the stock, but will recognize ordinary income when the shares become vested (i.e., when they are no longer subject to a substantial risk of forfeiture) in an amount equal to the difference between the fair market value of the stock at the time the restrictions lapse and the amount paid, if any, for the stock. However, a participant who receives common stock subject to a substantial risk of forfeiture may elect under Section 83(b) to recognize ordinary income at the time the stock is received in an amount equal to the fair market value of the stock at that time, reduced by the amount, if any, paid for the stock. An 83(b) election may be made, if at all, within 30 days after the date on which the non-vested restricted stock is received.</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20"/>
          </w:cols>
          <w:pgMar w:left="320" w:top="553" w:right="359" w:bottom="1440" w:gutter="0" w:footer="0" w:header="0"/>
        </w:sectPr>
      </w:pPr>
    </w:p>
    <w:bookmarkStart w:id="36" w:name="page37"/>
    <w:bookmarkEnd w:id="36"/>
    <w:p>
      <w:pPr>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Availability of Tax Deduction for Westwood. </w:t>
      </w:r>
      <w:r>
        <w:rPr>
          <w:rFonts w:ascii="Times New Roman" w:cs="Times New Roman" w:eastAsia="Times New Roman" w:hAnsi="Times New Roman"/>
          <w:sz w:val="18"/>
          <w:szCs w:val="18"/>
          <w:color w:val="auto"/>
        </w:rPr>
        <w:t>When ordinary income is recognized by a participant in connection with the receipt or exercise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under the Plan (including the filing of an election under section 83(b) of the Code), we will generally be entitled to a deduction for federal income tax purposes at the same time and in the same amount, assuming the requisite withholding requirements are met. However, compensation paid by us to Covered Employees is generally subject to the $1 million annual deduction limitation of Section 162(m). For awards granted before November 2, 2017, this limitation does not apply to performance-based compensation that meets certain requirements of Section 162(m).</w:t>
      </w:r>
    </w:p>
    <w:p>
      <w:pPr>
        <w:spacing w:after="0" w:line="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Tax Withholding</w:t>
      </w:r>
      <w:r>
        <w:rPr>
          <w:rFonts w:ascii="Times New Roman" w:cs="Times New Roman" w:eastAsia="Times New Roman" w:hAnsi="Times New Roman"/>
          <w:sz w:val="18"/>
          <w:szCs w:val="18"/>
          <w:color w:val="auto"/>
        </w:rPr>
        <w:t>. Our obligation to make payments or issue shares in connection with any award will be subject to and conditioned upon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satisfaction of applicable tax withholding obligations. The Compensation and Human Capital Committee may allow a participant to satisfy a withholding tax obligation in whole or in part by having us withhold shares that would otherwise be issued to the participant, or by having the participant deliver cash or shares to us, in either case with a value equal to the minimum amount of the withholding obligation. Shares that are withheld to satisfy part or all of a withholding tax obligation are not eligible for reissuance under the Plan.</w:t>
      </w:r>
    </w:p>
    <w:p>
      <w:pPr>
        <w:spacing w:after="0" w:line="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Plan Benefits</w:t>
      </w:r>
    </w:p>
    <w:p>
      <w:pPr>
        <w:spacing w:after="0" w:line="119" w:lineRule="exact"/>
        <w:rPr>
          <w:sz w:val="20"/>
          <w:szCs w:val="20"/>
          <w:color w:val="auto"/>
        </w:rPr>
      </w:pPr>
    </w:p>
    <w:p>
      <w:pPr>
        <w:jc w:val="both"/>
        <w:ind w:right="520" w:firstLine="405"/>
        <w:spacing w:after="0" w:line="266" w:lineRule="auto"/>
        <w:rPr>
          <w:sz w:val="20"/>
          <w:szCs w:val="20"/>
          <w:color w:val="auto"/>
        </w:rPr>
      </w:pPr>
      <w:r>
        <w:rPr>
          <w:rFonts w:ascii="Times New Roman" w:cs="Times New Roman" w:eastAsia="Times New Roman" w:hAnsi="Times New Roman"/>
          <w:sz w:val="18"/>
          <w:szCs w:val="18"/>
          <w:color w:val="auto"/>
        </w:rPr>
        <w:t>Future awards that may be made to eligible participants under the Plan are subject to the discretion of the Committee and, therefore, cannot be determined with certainty at this time. Awards made under the Plan in 2022 to our Named Executive Officers are set forth under the "2022 Summary Compensation Table" table.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The approval of the Amendment requires the affirmative vote of a majority of the votes cast with respect to this Proposal. All proxies submitted will be voted "FOR" this Proposal unless stockholders specify a contrary vote in their proxies. Broker non-votes will not be counted as votes cast with respect to this Proposal; however, abstentions will have the same effect as votes against this Proposal.</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OF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AMENDED AND RESTATED WESTWOOD HOLDINGS GROUP, INC. STOCK INCENTIVE PLAN</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121"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We are seeking a non-binding, advisory vote from our stockholders to approve the compensation paid to our named executive officers as disclosed in this proxy statement pursuant to Item 402 of Regulation S-K.</w:t>
      </w:r>
    </w:p>
    <w:p>
      <w:pPr>
        <w:spacing w:after="0" w:line="54"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Compensation and Human Capital Committee has structured our executive compensation program to reflect our "pay-for-performance" philosophy. The compensation opportunities provided to the named executive officers are dependent on the Company’s financial performance and the named executive officers’ individual performances and are intended to drive the creation of sustainable stockholder value. The Committee will continue to emphasize responsible compensation arrangements that attract, retain, and motivate high caliber executive officers to achieve the Company’s business strategies and objectives.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You can vote "FOR" or "AGAINST" or to "ABSTAIN" from voting on the following non-binding resolution relating to executive compensation:</w:t>
      </w:r>
    </w:p>
    <w:p>
      <w:pPr>
        <w:spacing w:after="0" w:line="117"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"Resolved, that the stockholders approve, on a non-binding, advisory basis, the compensation paid to the Company’s named executive officers as disclosed in the Company’s proxy statement for the 2023 Annual Meeting of Stockholders pursuant to Item 402 of Regulation S-K, including the executive compensation section, the compensation tables, and the narrative discussion."</w:t>
      </w:r>
    </w:p>
    <w:p>
      <w:pPr>
        <w:spacing w:after="0" w:line="68"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In deciding how to vote on this proposal, you are encouraged to consider the Company’s executive compensation philosophy and objectives and the components of the Company’s executive compensation program as set forth in the Executive Compensation section above, as well as the following key aspects of our executive compensation program:</w:t>
      </w:r>
    </w:p>
    <w:p>
      <w:pPr>
        <w:spacing w:after="0" w:line="68" w:lineRule="exact"/>
        <w:rPr>
          <w:sz w:val="20"/>
          <w:szCs w:val="20"/>
          <w:color w:val="auto"/>
        </w:rPr>
      </w:pPr>
    </w:p>
    <w:p>
      <w:pPr>
        <w:ind w:left="660" w:right="40" w:hanging="328"/>
        <w:spacing w:after="0" w:line="266"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each named executive officer's total direct compensation -- an average of 52% (excluding Mr. Casey as discussed above in "Executive Compensation") -- was "at risk" compensation in 2022 delivered in the form of an annual cash incentive award and an annual equity incentive award.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three years, our named executive officers have not received any significant perquisites.</w:t>
      </w:r>
    </w:p>
    <w:p>
      <w:pPr>
        <w:spacing w:after="0" w:line="117"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endeavors to structure our executive compensation program to motivate and reward our executive officers for taking appropriate business risks, while avoiding pay practices that incentivize excessive risk-taking.</w:t>
      </w:r>
    </w:p>
    <w:p>
      <w:pPr>
        <w:spacing w:after="0" w:line="54" w:lineRule="exact"/>
        <w:rPr>
          <w:sz w:val="20"/>
          <w:szCs w:val="20"/>
          <w:color w:val="auto"/>
        </w:rPr>
      </w:pPr>
    </w:p>
    <w:p>
      <w:pPr>
        <w:jc w:val="both"/>
        <w:ind w:right="140" w:firstLine="405"/>
        <w:spacing w:after="0" w:line="266" w:lineRule="auto"/>
        <w:rPr>
          <w:sz w:val="20"/>
          <w:szCs w:val="20"/>
          <w:color w:val="auto"/>
        </w:rPr>
      </w:pPr>
      <w:r>
        <w:rPr>
          <w:rFonts w:ascii="Times New Roman" w:cs="Times New Roman" w:eastAsia="Times New Roman" w:hAnsi="Times New Roman"/>
          <w:sz w:val="18"/>
          <w:szCs w:val="18"/>
          <w:color w:val="auto"/>
        </w:rPr>
        <w:t>While your vote on this proposal is advisory and is not binding on the Compensation and Human Capital Committee, our Board of Directors and the Committee value the opinions of our stockholders on executive compensation matters and will take the results of this advisory vote into consideration for future decisions regarding our executive compensation program.</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551" w:right="339" w:bottom="1440" w:gutter="0" w:footer="0" w:header="0"/>
        </w:sectPr>
      </w:pPr>
    </w:p>
    <w:bookmarkStart w:id="37" w:name="page38"/>
    <w:bookmarkEnd w:id="37"/>
    <w:p>
      <w:pPr>
        <w:ind w:right="680" w:firstLine="405"/>
        <w:spacing w:after="0" w:line="282" w:lineRule="auto"/>
        <w:rPr>
          <w:sz w:val="20"/>
          <w:szCs w:val="20"/>
          <w:color w:val="auto"/>
        </w:rPr>
      </w:pPr>
      <w:r>
        <w:rPr>
          <w:rFonts w:ascii="Times New Roman" w:cs="Times New Roman" w:eastAsia="Times New Roman" w:hAnsi="Times New Roman"/>
          <w:sz w:val="18"/>
          <w:szCs w:val="18"/>
          <w:color w:val="auto"/>
        </w:rPr>
        <w:t>The affirmative "FOR" vote of a majority of the votes cast at the annual meeting is required to approve, on a non-binding, advisory basis, the Company's executive compensation. Broker non-votes and abstentions will have no effect on the outcome of the proposal.</w:t>
      </w:r>
    </w:p>
    <w:p>
      <w:pPr>
        <w:spacing w:after="0" w:line="158" w:lineRule="exact"/>
        <w:rPr>
          <w:sz w:val="20"/>
          <w:szCs w:val="20"/>
          <w:color w:val="auto"/>
        </w:rPr>
      </w:pPr>
    </w:p>
    <w:p>
      <w:pPr>
        <w:jc w:val="center"/>
        <w:ind w:lef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UNANIMOUSLY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APPROVAL, ON A NON-BINDING, ADVISORY BASIS, OF THE COMPENSATION PAID TO THE NAMED EXECUTIVE OFFICERS, AS DISCLOSED IN THIS PROXY STATEMENT PURSUANT TO ITEM 402 OF REGULATION S-K.</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661"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the Frequency of the Advisory Vote on Executive Compensation</w:t>
      </w:r>
    </w:p>
    <w:p>
      <w:pPr>
        <w:spacing w:after="0" w:line="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The fifth proposal to be considered at the annual meeting is the advisory vote for stockholders to express a preference for the frequency with</w:t>
      </w:r>
    </w:p>
    <w:p>
      <w:pPr>
        <w:spacing w:after="0" w:line="2" w:lineRule="exact"/>
        <w:rPr>
          <w:sz w:val="20"/>
          <w:szCs w:val="20"/>
          <w:color w:val="auto"/>
        </w:rPr>
      </w:pPr>
    </w:p>
    <w:p>
      <w:pPr>
        <w:spacing w:after="0" w:line="208" w:lineRule="auto"/>
        <w:rPr>
          <w:sz w:val="20"/>
          <w:szCs w:val="20"/>
          <w:color w:val="auto"/>
        </w:rPr>
      </w:pPr>
      <w:r>
        <w:rPr>
          <w:rFonts w:ascii="Times New Roman" w:cs="Times New Roman" w:eastAsia="Times New Roman" w:hAnsi="Times New Roman"/>
          <w:sz w:val="18"/>
          <w:szCs w:val="18"/>
          <w:color w:val="auto"/>
        </w:rPr>
        <w:t>which we hold future stockholder say-on-pay votes, which is required pursuant to Section 14A of the Securities Exchange Act of 1934 (the "Exchange Act"). Companies subject to say-on-pay rules are required to: (1) at least once every six calendar years, hold an advisory stockholder say-on-frequency vote regarding whether stockholders prefer to conduct their advisory say-on-pay vote annually, biannually, or triennially, and (2) at least once every three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calendar years, hold an advisory stockholder say-on-pay vote.</w:t>
      </w:r>
    </w:p>
    <w:p>
      <w:pPr>
        <w:spacing w:after="0" w:line="57" w:lineRule="exact"/>
        <w:rPr>
          <w:sz w:val="20"/>
          <w:szCs w:val="20"/>
          <w:color w:val="auto"/>
        </w:rPr>
      </w:pPr>
    </w:p>
    <w:p>
      <w:pPr>
        <w:ind w:right="880" w:firstLine="648"/>
        <w:spacing w:after="0" w:line="236" w:lineRule="auto"/>
        <w:rPr>
          <w:sz w:val="20"/>
          <w:szCs w:val="20"/>
          <w:color w:val="auto"/>
        </w:rPr>
      </w:pPr>
      <w:r>
        <w:rPr>
          <w:rFonts w:ascii="Times New Roman" w:cs="Times New Roman" w:eastAsia="Times New Roman" w:hAnsi="Times New Roman"/>
          <w:sz w:val="17"/>
          <w:szCs w:val="17"/>
          <w:color w:val="auto"/>
        </w:rPr>
        <w:t>The Company is subject to these rules and, therefore, conducted a say-on-frequency vote six years ago at our 2017 Annual Meeting of Stockholders. At that time, our stockholders expressed a preference to conduct say-on-pay votes on an annual basis, consistent with the Board’s</w:t>
      </w:r>
    </w:p>
    <w:p>
      <w:pPr>
        <w:ind w:right="280"/>
        <w:spacing w:after="0" w:line="226" w:lineRule="auto"/>
        <w:rPr>
          <w:sz w:val="20"/>
          <w:szCs w:val="20"/>
          <w:color w:val="auto"/>
        </w:rPr>
      </w:pPr>
      <w:r>
        <w:rPr>
          <w:rFonts w:ascii="Times New Roman" w:cs="Times New Roman" w:eastAsia="Times New Roman" w:hAnsi="Times New Roman"/>
          <w:sz w:val="18"/>
          <w:szCs w:val="18"/>
          <w:color w:val="auto"/>
        </w:rPr>
        <w:t>recommendation. The Board recommended that our stockholders select an annual frequency in response to changing investor sentiments and in order to give our stockholders an opportunity to provide feedback on our executive compensation program on a more frequent basis.</w:t>
      </w:r>
    </w:p>
    <w:p>
      <w:pPr>
        <w:spacing w:after="0" w:line="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Since 2017, we have conducted our say-on-pay vote on an annual basis in accordance with the preference expressed by our stockholders in 2017.</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In accordance with Section 14A of the Exchange Act, we are bound to hold an advisory stockholder vote on both say-on-pay and say-on-frequency in our 2023 Annual Meeting of Stockholders. Proposal 4 concerns say-on-pay, and Proposal 5 requests stockholder input on how often we should solicit advisory say-on-pay votes with respect to our executive compensation.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Sought and Recommendation</w:t>
      </w:r>
    </w:p>
    <w:p>
      <w:pPr>
        <w:spacing w:after="0" w:line="108" w:lineRule="exact"/>
        <w:rPr>
          <w:sz w:val="20"/>
          <w:szCs w:val="20"/>
          <w:color w:val="auto"/>
        </w:rPr>
      </w:pPr>
    </w:p>
    <w:p>
      <w:pPr>
        <w:ind w:firstLine="486"/>
        <w:spacing w:after="0" w:line="216" w:lineRule="auto"/>
        <w:rPr>
          <w:sz w:val="20"/>
          <w:szCs w:val="20"/>
          <w:color w:val="auto"/>
        </w:rPr>
      </w:pPr>
      <w:r>
        <w:rPr>
          <w:rFonts w:ascii="Times New Roman" w:cs="Times New Roman" w:eastAsia="Times New Roman" w:hAnsi="Times New Roman"/>
          <w:sz w:val="18"/>
          <w:szCs w:val="18"/>
          <w:color w:val="auto"/>
        </w:rPr>
        <w:t>Our Board of Directors continues to recommend an annual vote frequency in order to give stockholders the opportunity to provide frequent feedback on our executive compensation program. Stockholders may (1) vote in favor of holding the say-on-pay vote annually (i.e., once every year), (2) vote in favor of holding the say-on-pay vote biannually (i.e., once every two years), (3) vote in favor of holding the say-on-pay vote triennially (i.e., once every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years), or (4) abstain from voting.</w:t>
      </w:r>
    </w:p>
    <w:p>
      <w:pPr>
        <w:spacing w:after="0" w:line="57" w:lineRule="exact"/>
        <w:rPr>
          <w:sz w:val="20"/>
          <w:szCs w:val="20"/>
          <w:color w:val="auto"/>
        </w:rPr>
      </w:pPr>
    </w:p>
    <w:p>
      <w:pPr>
        <w:ind w:right="240" w:firstLine="648"/>
        <w:spacing w:after="0" w:line="236" w:lineRule="auto"/>
        <w:rPr>
          <w:sz w:val="20"/>
          <w:szCs w:val="20"/>
          <w:color w:val="auto"/>
        </w:rPr>
      </w:pPr>
      <w:r>
        <w:rPr>
          <w:rFonts w:ascii="Times New Roman" w:cs="Times New Roman" w:eastAsia="Times New Roman" w:hAnsi="Times New Roman"/>
          <w:sz w:val="17"/>
          <w:szCs w:val="17"/>
          <w:color w:val="auto"/>
        </w:rPr>
        <w:t>Because it is advisory, the results of the say-on-frequency are not binding upon the Compensation and Human Capital Committee, the Board of Directors, or Westwood. The Board may decide that it is in the best interests of our stockholders and the Company to hold an advisory vote on executive</w:t>
      </w:r>
    </w:p>
    <w:p>
      <w:pPr>
        <w:ind w:right="280"/>
        <w:spacing w:after="0" w:line="208" w:lineRule="auto"/>
        <w:rPr>
          <w:sz w:val="20"/>
          <w:szCs w:val="20"/>
          <w:color w:val="auto"/>
        </w:rPr>
      </w:pPr>
      <w:r>
        <w:rPr>
          <w:rFonts w:ascii="Times New Roman" w:cs="Times New Roman" w:eastAsia="Times New Roman" w:hAnsi="Times New Roman"/>
          <w:sz w:val="18"/>
          <w:szCs w:val="18"/>
          <w:color w:val="auto"/>
        </w:rPr>
        <w:t>compensation more or less frequently than the frequency receiving the most votes cast by our stockholders. However, as was the case with the say-on-frequency vote at the 2017 Annual Meeting of Stockholders, we expect that the Board of Directors and the Committee will consider the outcome of this vote when determining how often to conduct the advisory stockholder say-on-pay vote. Broker non-votes and abstentions will have no effect on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outcome of this proposal.</w:t>
      </w:r>
    </w:p>
    <w:p>
      <w:pPr>
        <w:spacing w:after="0" w:line="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hold the Company's next say-on-frequency vote at the 2029 Annual Meeting of Stockholders.</w:t>
      </w:r>
    </w:p>
    <w:p>
      <w:pPr>
        <w:spacing w:after="0" w:line="181" w:lineRule="exact"/>
        <w:rPr>
          <w:sz w:val="20"/>
          <w:szCs w:val="20"/>
          <w:color w:val="auto"/>
        </w:rPr>
      </w:pPr>
    </w:p>
    <w:p>
      <w:pPr>
        <w:ind w:left="3680" w:right="200" w:hanging="2969"/>
        <w:spacing w:after="0" w:line="255" w:lineRule="auto"/>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ON A NON-BINDING, ADVISORY BASIS, OF "ONE YEAR" WITH RESPECT TO THIS PROPOSAL.</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20"/>
          </w:cols>
          <w:pgMar w:left="320" w:top="441" w:right="359" w:bottom="1440" w:gutter="0" w:footer="0" w:header="0"/>
        </w:sectPr>
      </w:pPr>
    </w:p>
    <w:bookmarkStart w:id="39" w:name="page40"/>
    <w:bookmarkEnd w:id="39"/>
    <w:p>
      <w:pPr>
        <w:ind w:right="3040" w:firstLine="3050"/>
        <w:spacing w:after="0" w:line="378" w:lineRule="auto"/>
        <w:rPr>
          <w:sz w:val="20"/>
          <w:szCs w:val="20"/>
          <w:color w:val="auto"/>
        </w:rPr>
      </w:pPr>
      <w:r>
        <w:rPr>
          <w:rFonts w:ascii="Times New Roman" w:cs="Times New Roman" w:eastAsia="Times New Roman" w:hAnsi="Times New Roman"/>
          <w:sz w:val="18"/>
          <w:szCs w:val="18"/>
          <w:b w:val="1"/>
          <w:bCs w:val="1"/>
          <w:color w:val="auto"/>
        </w:rPr>
        <w:t>CERTAIN RELATIONSHIPS AND RELATED TRANSACTIONS Other Relationships and Related Transactions</w:t>
      </w: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John Porter Montgomery, the stepson of our Vice Chairman Ms. Byrne, was employed by Westwood Holdings Group, Inc., throughout 2022 and received total compensation of $467,400. He currently serves as Chief Operating Officer and is compensated in a manner consistent with our policies that apply to all employees.</w:t>
      </w:r>
    </w:p>
    <w:p>
      <w:pPr>
        <w:spacing w:after="0" w:line="6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earned revenues from an affiliate of a 5% beneficial owner, GAMCO Investors, Inc., in the amount of $228,000 during fiscal year 2022 in connection with sub-advisory services provided by the Company.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Accounts</w:t>
      </w:r>
    </w:p>
    <w:p>
      <w:pPr>
        <w:spacing w:after="0" w:line="121" w:lineRule="exact"/>
        <w:rPr>
          <w:sz w:val="20"/>
          <w:szCs w:val="20"/>
          <w:color w:val="auto"/>
        </w:rPr>
      </w:pPr>
    </w:p>
    <w:p>
      <w:pPr>
        <w:jc w:val="both"/>
        <w:ind w:right="80" w:firstLine="405"/>
        <w:spacing w:after="0" w:line="266" w:lineRule="auto"/>
        <w:rPr>
          <w:sz w:val="20"/>
          <w:szCs w:val="20"/>
          <w:color w:val="auto"/>
        </w:rPr>
      </w:pPr>
      <w:r>
        <w:rPr>
          <w:rFonts w:ascii="Times New Roman" w:cs="Times New Roman" w:eastAsia="Times New Roman" w:hAnsi="Times New Roman"/>
          <w:sz w:val="18"/>
          <w:szCs w:val="18"/>
          <w:color w:val="auto"/>
        </w:rPr>
        <w:t>Certain of our directors, executive officers and their affiliates invest their personal funds directly in accounts held and managed by us. All such funds are managed along with, and on the same terms as, funds deposited by our other clients. These individuals are charged management fees for our services at a preferred fee rate, consistent with fees charged to other select clients who are not members of our Board of Directors or executive officers..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and Approval of Related Party Transactions</w:t>
      </w:r>
    </w:p>
    <w:p>
      <w:pPr>
        <w:spacing w:after="0" w:line="121"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All future material transactions involving affiliated parties will be subject to approval by a majority of our disinterested directors. We have a written policy, entitled the “Conflict of Interest Policy” (the “Policy”) that addresses the review and approval of related party transactions. The Policy provides that, except with the Board’s prior knowledge and consent, no director, officer or employee of Westwood or its subsidiaries may be involved in a transaction or relationship that gives rise to a “conflict of interest” with Westwood. The policy defines “conflict of interest” as an occurrence where a director, officer or employee’s private interests interfere, or appear to interfere, in any way with our interests taken as a whole and specifically includes all related party transactions and relationships that we are required to disclose in our proxy statement.</w:t>
      </w:r>
    </w:p>
    <w:p>
      <w:pPr>
        <w:spacing w:after="0" w:line="79"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In the event the Board’s consent to a conflict of interest is sought, the request must be addressed to our compliance officer (or, where the matter involves the compliance officer, to the Audit Committee) and referred to the Audit Committee for its consideration. If the matter involves any member of the Audit Committee, the matter is required to be addressed by the disinterested members of the Board of Directors. A majority of the members of the Audit Committee (or a majority of the disinterested members of the Board of Directors, where applicable) must approve any request. The terms of any such transaction must be as favorable to us as the terms would be if the transaction were entered into with an unrelated third party.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806" w:right="339" w:bottom="1440" w:gutter="0" w:footer="0" w:header="0"/>
        </w:sectPr>
      </w:pPr>
    </w:p>
    <w:bookmarkStart w:id="40" w:name="page41"/>
    <w:bookmarkEnd w:id="4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80" w:right="20" w:firstLine="405"/>
        <w:spacing w:after="0" w:line="266" w:lineRule="auto"/>
        <w:rPr>
          <w:sz w:val="20"/>
          <w:szCs w:val="20"/>
          <w:color w:val="auto"/>
        </w:rPr>
      </w:pPr>
      <w:r>
        <w:rPr>
          <w:rFonts w:ascii="Times New Roman" w:cs="Times New Roman" w:eastAsia="Times New Roman" w:hAnsi="Times New Roman"/>
          <w:sz w:val="18"/>
          <w:szCs w:val="18"/>
          <w:color w:val="auto"/>
        </w:rPr>
        <w:t>As of March 1, 2023, there were 9,245,779 shares of common stock issued and entitled to vote at the annual meeting. Except where otherwise indicated, the following table sets forth certain information as of March 1, 2023 regarding beneficial ownership of the common stock and the percentage of total voting power held by:</w:t>
      </w:r>
    </w:p>
    <w:p>
      <w:pPr>
        <w:spacing w:after="0" w:line="68" w:lineRule="exact"/>
        <w:rPr>
          <w:sz w:val="20"/>
          <w:szCs w:val="20"/>
          <w:color w:val="auto"/>
        </w:rPr>
      </w:pPr>
    </w:p>
    <w:p>
      <w:pPr>
        <w:ind w:left="740" w:hanging="32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stockholder known by us to own more than five percent (5%) of outstanding common stock;</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director and director nominee;</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w:t>
      </w:r>
    </w:p>
    <w:p>
      <w:pPr>
        <w:spacing w:after="0" w:line="117" w:lineRule="exact"/>
        <w:rPr>
          <w:rFonts w:ascii="Times New Roman" w:cs="Times New Roman" w:eastAsia="Times New Roman" w:hAnsi="Times New Roman"/>
          <w:sz w:val="18"/>
          <w:szCs w:val="18"/>
          <w:color w:val="auto"/>
        </w:rPr>
      </w:pPr>
    </w:p>
    <w:p>
      <w:pPr>
        <w:ind w:left="740" w:hanging="328"/>
        <w:spacing w:after="0"/>
        <w:tabs>
          <w:tab w:leader="none" w:pos="7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and executive officers as a group.</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Unless otherwise noted, the persons named below have sole voting and investment power with respect to such shares.</w:t>
      </w:r>
    </w:p>
    <w:p>
      <w:pPr>
        <w:spacing w:after="0" w:line="19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160" w:type="dxa"/>
            <w:vAlign w:val="bottom"/>
            <w:vMerge w:val="restart"/>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6"/>
        </w:trPr>
        <w:tc>
          <w:tcPr>
            <w:tcW w:w="8440" w:type="dxa"/>
            <w:vAlign w:val="bottom"/>
            <w:gridSpan w:val="2"/>
            <w:vMerge w:val="restart"/>
          </w:tcPr>
          <w:p>
            <w:pPr>
              <w:ind w:left="3600"/>
              <w:spacing w:after="0"/>
              <w:rPr>
                <w:sz w:val="20"/>
                <w:szCs w:val="20"/>
                <w:color w:val="auto"/>
              </w:rPr>
            </w:pPr>
            <w:r>
              <w:rPr>
                <w:rFonts w:ascii="Times New Roman" w:cs="Times New Roman" w:eastAsia="Times New Roman" w:hAnsi="Times New Roman"/>
                <w:sz w:val="14"/>
                <w:szCs w:val="14"/>
                <w:b w:val="1"/>
                <w:bCs w:val="1"/>
                <w:color w:val="auto"/>
              </w:rPr>
              <w:t>Beneficial Owners</w:t>
            </w:r>
          </w:p>
        </w:tc>
        <w:tc>
          <w:tcPr>
            <w:tcW w:w="160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440" w:type="dxa"/>
            <w:vAlign w:val="bottom"/>
            <w:gridSpan w:val="2"/>
            <w:vMerge w:val="continue"/>
          </w:tcPr>
          <w:p>
            <w:pPr>
              <w:spacing w:after="0"/>
              <w:rPr>
                <w:sz w:val="17"/>
                <w:szCs w:val="17"/>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16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Class</w:t>
            </w:r>
          </w:p>
        </w:tc>
        <w:tc>
          <w:tcPr>
            <w:tcW w:w="0" w:type="dxa"/>
            <w:vAlign w:val="bottom"/>
          </w:tcPr>
          <w:p>
            <w:pPr>
              <w:spacing w:after="0"/>
              <w:rPr>
                <w:sz w:val="1"/>
                <w:szCs w:val="1"/>
                <w:color w:val="auto"/>
              </w:rPr>
            </w:pPr>
          </w:p>
        </w:tc>
      </w:tr>
      <w:tr>
        <w:trPr>
          <w:trHeight w:val="228"/>
        </w:trPr>
        <w:tc>
          <w:tcPr>
            <w:tcW w:w="832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 Beneficial Owners</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JCP Investment Management, LLC</w:t>
            </w:r>
            <w:r>
              <w:rPr>
                <w:rFonts w:ascii="Times New Roman" w:cs="Times New Roman" w:eastAsia="Times New Roman" w:hAnsi="Times New Roman"/>
                <w:sz w:val="23"/>
                <w:szCs w:val="23"/>
                <w:color w:val="auto"/>
                <w:vertAlign w:val="superscript"/>
              </w:rPr>
              <w:t>(2)(3)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843,139</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Allspring Global Investments Holdings LLC</w:t>
            </w:r>
            <w:r>
              <w:rPr>
                <w:rFonts w:ascii="Times New Roman" w:cs="Times New Roman" w:eastAsia="Times New Roman" w:hAnsi="Times New Roman"/>
                <w:sz w:val="23"/>
                <w:szCs w:val="23"/>
                <w:color w:val="auto"/>
                <w:vertAlign w:val="superscript"/>
              </w:rPr>
              <w:t>(2)(4)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579,176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DePrince, Race &amp; Zollo, Inc.</w:t>
            </w:r>
            <w:r>
              <w:rPr>
                <w:rFonts w:ascii="Times New Roman" w:cs="Times New Roman" w:eastAsia="Times New Roman" w:hAnsi="Times New Roman"/>
                <w:sz w:val="23"/>
                <w:szCs w:val="23"/>
                <w:color w:val="auto"/>
                <w:vertAlign w:val="superscript"/>
              </w:rPr>
              <w:t>(2)(5)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552,745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b w:val="1"/>
                <w:bCs w:val="1"/>
                <w:color w:val="auto"/>
              </w:rPr>
              <w:t>Directors and Named Executive Officers</w:t>
            </w:r>
            <w:r>
              <w:rPr>
                <w:rFonts w:ascii="Times New Roman" w:cs="Times New Roman" w:eastAsia="Times New Roman" w:hAnsi="Times New Roman"/>
                <w:sz w:val="23"/>
                <w:szCs w:val="23"/>
                <w:b w:val="1"/>
                <w:bCs w:val="1"/>
                <w:color w:val="auto"/>
                <w:vertAlign w:val="superscript"/>
              </w:rPr>
              <w:t>(1)</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Brian O. Casey</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437,678</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Fabian Gomez</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55,416</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Leah Bennett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40,812</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Richard M. Frank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66,764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Susan M. Byrne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267,527</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29"/>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Ellen H. Masterson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Geoffrey R. Norman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28,930</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4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Randy A. Bowman</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4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All directors and named executive officers as a group (8 Persons)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933,405</w:t>
            </w: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9"/>
          <w:szCs w:val="9"/>
          <w:color w:val="auto"/>
        </w:rPr>
        <w:t>___________________</w:t>
      </w:r>
    </w:p>
    <w:p>
      <w:pPr>
        <w:spacing w:after="0" w:line="1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Less than 1%</w:t>
      </w:r>
    </w:p>
    <w:p>
      <w:pPr>
        <w:spacing w:after="0" w:line="19" w:lineRule="exact"/>
        <w:rPr>
          <w:sz w:val="20"/>
          <w:szCs w:val="20"/>
          <w:color w:val="auto"/>
        </w:rPr>
      </w:pPr>
    </w:p>
    <w:p>
      <w:pPr>
        <w:ind w:left="320" w:hanging="313"/>
        <w:spacing w:after="0"/>
        <w:tabs>
          <w:tab w:leader="none" w:pos="3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each director and named executive officer is 200 Crescent Court, Suite 1200, Dallas, Texas, 75201.</w:t>
      </w:r>
    </w:p>
    <w:p>
      <w:pPr>
        <w:spacing w:after="0" w:line="14"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beneficial ownership information reported for this stockholder is based upon the most recent Form 13F, Schedule 13G or Schedule 13D filed with the SEC by such stockholder.</w:t>
      </w:r>
    </w:p>
    <w:p>
      <w:pPr>
        <w:spacing w:after="0" w:line="4" w:lineRule="exact"/>
        <w:rPr>
          <w:rFonts w:ascii="Times New Roman" w:cs="Times New Roman" w:eastAsia="Times New Roman" w:hAnsi="Times New Roman"/>
          <w:sz w:val="14"/>
          <w:szCs w:val="14"/>
          <w:color w:val="auto"/>
        </w:rPr>
      </w:pPr>
    </w:p>
    <w:p>
      <w:pPr>
        <w:ind w:left="320" w:hanging="313"/>
        <w:spacing w:after="0"/>
        <w:tabs>
          <w:tab w:leader="none" w:pos="32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JCP Investment Management, LLC is 1177 West Loop South, Suite 1320, Houston, Texas 77027. On January 5, 2023, JCP Investment Management, LLC reported its</w:t>
      </w:r>
    </w:p>
    <w:p>
      <w:pPr>
        <w:spacing w:after="0" w:line="11" w:lineRule="exact"/>
        <w:rPr>
          <w:sz w:val="20"/>
          <w:szCs w:val="20"/>
          <w:color w:val="auto"/>
        </w:rPr>
      </w:pPr>
    </w:p>
    <w:p>
      <w:pPr>
        <w:ind w:left="500" w:right="80"/>
        <w:spacing w:after="0" w:line="257" w:lineRule="auto"/>
        <w:rPr>
          <w:sz w:val="20"/>
          <w:szCs w:val="20"/>
          <w:color w:val="auto"/>
        </w:rPr>
      </w:pPr>
      <w:r>
        <w:rPr>
          <w:rFonts w:ascii="Times New Roman" w:cs="Times New Roman" w:eastAsia="Times New Roman" w:hAnsi="Times New Roman"/>
          <w:sz w:val="14"/>
          <w:szCs w:val="14"/>
          <w:color w:val="auto"/>
        </w:rPr>
        <w:t>beneficial ownership, indicating that it held sole voting power over 843,139 shares and sole dispositive power over 860,416 shares. The Schedule 13D filed by JCP Investment Management, LLC is filed on its own behalf and on behalf of any subsidiaries listed on Exhibit B of the Schedule 13G, which each hold sole voting power, sole dispositive power, shared voting power, and shared dispositive power over a different number of shares. However, the 860,416 shares reflect the aggregate beneficial ownership reported by JCP Investment Management, LLC on a consolidated basis and include any beneficial ownership separately reported by a subsidiary.</w:t>
      </w:r>
    </w:p>
    <w:p>
      <w:pPr>
        <w:spacing w:after="0" w:line="2" w:lineRule="exact"/>
        <w:rPr>
          <w:sz w:val="20"/>
          <w:szCs w:val="20"/>
          <w:color w:val="auto"/>
        </w:rPr>
      </w:pPr>
    </w:p>
    <w:p>
      <w:pPr>
        <w:ind w:left="500" w:hanging="493"/>
        <w:spacing w:after="0" w:line="257" w:lineRule="auto"/>
        <w:tabs>
          <w:tab w:leader="none" w:pos="2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Allspring Global Investments Holdings, LLC is 525 Market St., 10th Fl, San Francisco, CA 94105. On January 10, 2023, Allspring Global Investments Holdings, LLC reported its beneficial ownership, indicating that it held sole voting power over 551,304 shares and sole dispositive power over 579,176 shares. The Schedule 13G filed by Allspring Global Investments Holdings, LLC is filed on its own behalf and on behalf of any subsidiaries listed on Exhibit B of the Schedule 13G, which each hold sole voting power, sole dispositive power, shared voting power, and shared dispositive power over a different number of shares. However, the 579,176 shares reflect the aggregate beneficial ownership reported by Allspring Global Investments Holdings, LLC on a consolidated basis and include any beneficial ownership separately reported by a subsidiary.</w:t>
      </w:r>
    </w:p>
    <w:p>
      <w:pPr>
        <w:spacing w:after="0" w:line="2" w:lineRule="exact"/>
        <w:rPr>
          <w:rFonts w:ascii="Times New Roman" w:cs="Times New Roman" w:eastAsia="Times New Roman" w:hAnsi="Times New Roman"/>
          <w:sz w:val="14"/>
          <w:szCs w:val="14"/>
          <w:color w:val="auto"/>
        </w:rPr>
      </w:pPr>
    </w:p>
    <w:p>
      <w:pPr>
        <w:ind w:left="500" w:right="100" w:hanging="493"/>
        <w:spacing w:after="0" w:line="278" w:lineRule="auto"/>
        <w:tabs>
          <w:tab w:leader="none" w:pos="218"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address of DePrince, Race &amp; Zollo, Inc. is 250 Park Ave South, Suite 250, Winter Park, FL 32789. On February 14, 2023, DePrince, Race &amp; Zollo, Inc. reported its beneficial ownership, indicating that it held sole voting power over 459,569 shares, and sole dispositive power over 552,745 shares.</w:t>
      </w:r>
    </w:p>
    <w:p>
      <w:pPr>
        <w:spacing w:after="0" w:line="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80"/>
          </w:cols>
          <w:pgMar w:left="240" w:top="549" w:right="37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right="360" w:firstLine="445"/>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its written charter adopted by the Board of Directors, the Audit Committee assists the Board in fulfilling its oversight responsibilities by, among other things, reviewing the financial reports and other financial information provided by us to any governmental body or the public. The Audit Committee charter is available on our website </w:t>
      </w:r>
      <w:r>
        <w:rPr>
          <w:rFonts w:ascii="Times New Roman" w:cs="Times New Roman" w:eastAsia="Times New Roman" w:hAnsi="Times New Roman"/>
          <w:sz w:val="18"/>
          <w:szCs w:val="18"/>
          <w:i w:val="1"/>
          <w:iCs w:val="1"/>
          <w:color w:val="auto"/>
        </w:rPr>
        <w:t>westwoodgroup.com</w:t>
      </w:r>
      <w:r>
        <w:rPr>
          <w:rFonts w:ascii="Times New Roman" w:cs="Times New Roman" w:eastAsia="Times New Roman" w:hAnsi="Times New Roman"/>
          <w:sz w:val="18"/>
          <w:szCs w:val="18"/>
          <w:color w:val="auto"/>
        </w:rPr>
        <w:t xml:space="preserve"> under the corporate governance section. The Audit Committee reviews the adequacy of and compliance with such charter annually.</w:t>
      </w:r>
    </w:p>
    <w:p>
      <w:pPr>
        <w:spacing w:after="0" w:line="72"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In discharging its oversight responsibilities, the Audit Committee reviewed and discussed the audited consolidated financial statements of Westwood Holdings Group, Inc. ("Westwood") as of and for the fiscal year ended December 31, 2022 with management and BDO USA, LLP ("BDO"), our independent auditors. Management is responsible for Westwood’s financial reporting process, including its system of internal control over financial reporting (as defined in Rule 13a-15(f) and15d-15(f) promulgated under the Securities Exchange Act of 1934), and for the preparation of Westwood’s consolidated financial statements in accordance with generally accepted accounting principles. BDO is responsible for auditing those financial statements and expressing an opinion on the conformity of the financial statements with generally accepted accounting principles. The Audit Committee’s responsibility is to monitor and review these processes. The members of the Audit Committee are "independent" as defined by SEC and NYSE rules, and, although the Board of Directors has determined that Ms. Masterson and Mr. Norman are "audit committee financial experts" as defined by SEC rules, neither Ms. Masterson, Mr. Norman, nor any other member of the Audit Committee, represent themselves to be, or to serve as, accountants or auditors by profession or experts in the field of accounting or auditing.</w:t>
      </w:r>
    </w:p>
    <w:p>
      <w:pPr>
        <w:spacing w:after="0" w:line="86"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The Audit Committee is directly responsible for the appointment, compensation, retention and oversight of the work of BDO. In fulfilling this responsibility, the Audit Committee engages in an annual evaluation of the independent auditing firm's qualifications, performance, independence, tenure and work quality as part of its decision as to whether the current firm should be retained for the upcoming year's audit. The Audit Committee discussed with BDO the overall scope and plan for its audits and met with the firm throughout the year, with and without management present, to monitor the firm's progress and results obtained from their audits.</w:t>
      </w:r>
    </w:p>
    <w:p>
      <w:pPr>
        <w:spacing w:after="0" w:line="75"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Audit Committee received from BDO a formal written statement describing all relationships between the firm and Westwood that might bear on the auditors’ independence consistent with Independent Standards Board Standard No. 1, discussed with BDO any relationships that might impact their objectivity and independence and, based on such information, satisfied itself as to BDO’s independence. The Audit Committee also approved in advance all audit and permitted non-audit services to be provided and concluded that BDO's provision of other permitted non-audit services to Westwood and related entities is compatible with BDO's independence.</w:t>
      </w:r>
    </w:p>
    <w:p>
      <w:pPr>
        <w:spacing w:after="0" w:line="75" w:lineRule="exact"/>
        <w:rPr>
          <w:sz w:val="20"/>
          <w:szCs w:val="20"/>
          <w:color w:val="auto"/>
        </w:rPr>
      </w:pPr>
    </w:p>
    <w:p>
      <w:pPr>
        <w:ind w:right="60" w:firstLine="44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management, Westwood’s internal auditors and BDO the quality and adequacy of Westwood’s internal controls over financial reporting and the audit scope and plans for audits performed by the internal auditors and BDO.</w:t>
      </w:r>
    </w:p>
    <w:p>
      <w:pPr>
        <w:spacing w:after="0" w:line="54"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The Audit Committee discussed with BDO all communications required by generally accepted auditing standards used in the United States, including those described in Statement on Auditing Standards No. 16, as amended, as adopted by the Public Company Accounting Oversight Board in Rule 3200T.</w:t>
      </w:r>
    </w:p>
    <w:p>
      <w:pPr>
        <w:spacing w:after="0" w:line="54" w:lineRule="exact"/>
        <w:rPr>
          <w:sz w:val="20"/>
          <w:szCs w:val="20"/>
          <w:color w:val="auto"/>
        </w:rPr>
      </w:pPr>
    </w:p>
    <w:p>
      <w:pPr>
        <w:ind w:right="180" w:firstLine="445"/>
        <w:spacing w:after="0" w:line="253" w:lineRule="auto"/>
        <w:rPr>
          <w:sz w:val="20"/>
          <w:szCs w:val="20"/>
          <w:color w:val="auto"/>
        </w:rPr>
      </w:pPr>
      <w:r>
        <w:rPr>
          <w:rFonts w:ascii="Times New Roman" w:cs="Times New Roman" w:eastAsia="Times New Roman" w:hAnsi="Times New Roman"/>
          <w:sz w:val="18"/>
          <w:szCs w:val="18"/>
          <w:color w:val="auto"/>
        </w:rPr>
        <w:t>For the fiscal year 2022, management completed the documentation, testing and evaluation of Westwood’s system of internal control over financial reporting in response to the requirements set forth in Section 404 of the Sarbanes-Oxley Act of 2002, and related regulations. In making its assessment, management used the criteria set forth by the Committee of Sponsoring Organizations of the Treadway Commission ("COSO") in Internal Control - Integrated Framework (2013 framework). The Audit Committee monitored the progress of the evaluation and provided oversight and guidance to management and internal audit during the process. In connection with this oversight, the Audit Committee received periodic updates provided by management, internal audit and BDO. At the conclusion of the process, management provided the Audit Committee with a report on management’s assessment of the effectiveness of Westwood’s internal control over financial reporting as of December 31, 2022. The Audit Committee discussed with management and BDO the significant accounting policies used and significant estimates made by management in the preparation of our audited consolidated financial statements and the overall quality of management's financial reporting process. In addition, the Audit Committee reviewed the quarterly and annual earnings reports with management and BDO prior to earnings announcements throughout the year.</w:t>
      </w:r>
    </w:p>
    <w:p>
      <w:pPr>
        <w:spacing w:after="0" w:line="73"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Based upon the above-mentioned review and discussions with management and BDO, the Audit Committee recommended to the Board of Directors that Westwood’s audited consolidated financial statements be included in its Annual Report on Form 10-K for the fiscal year ended December 31, 2022, for filing with the Securities and Exchange Commission.</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Ellen H. Masterson, Chairperson</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Richard M. Frank</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Geoffrey R. Norman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Randy A. Bowman</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441" w:right="339" w:bottom="1440" w:gutter="0" w:footer="0" w:header="0"/>
        </w:sectPr>
      </w:pPr>
    </w:p>
    <w:bookmarkStart w:id="42" w:name="page43"/>
    <w:bookmarkEnd w:id="4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right="200" w:firstLine="405"/>
        <w:spacing w:after="0" w:line="289" w:lineRule="auto"/>
        <w:rPr>
          <w:sz w:val="20"/>
          <w:szCs w:val="20"/>
          <w:color w:val="auto"/>
        </w:rPr>
      </w:pPr>
      <w:r>
        <w:rPr>
          <w:rFonts w:ascii="Times New Roman" w:cs="Times New Roman" w:eastAsia="Times New Roman" w:hAnsi="Times New Roman"/>
          <w:sz w:val="17"/>
          <w:szCs w:val="17"/>
          <w:color w:val="auto"/>
        </w:rPr>
        <w:t>Section 16(a) of the Securities Exchange Act of 1934 requires our directors, executive officers and persons who own more than ten percent of our common stock to file with the SEC initial statements of beneficial ownership of securities and subsequent changes in beneficial ownership. Our officers, directors and greater-than-ten-percent stockholders are required by the SEC's regulations to furnish us with copies of all Section 16(a) forms they file.</w:t>
      </w:r>
    </w:p>
    <w:p>
      <w:pPr>
        <w:spacing w:after="0" w:line="50" w:lineRule="exact"/>
        <w:rPr>
          <w:sz w:val="20"/>
          <w:szCs w:val="20"/>
          <w:color w:val="auto"/>
        </w:rPr>
      </w:pPr>
    </w:p>
    <w:p>
      <w:pPr>
        <w:ind w:right="160" w:firstLine="405"/>
        <w:spacing w:after="0" w:line="258" w:lineRule="auto"/>
        <w:rPr>
          <w:sz w:val="20"/>
          <w:szCs w:val="20"/>
          <w:color w:val="auto"/>
        </w:rPr>
      </w:pPr>
      <w:r>
        <w:rPr>
          <w:rFonts w:ascii="Times New Roman" w:cs="Times New Roman" w:eastAsia="Times New Roman" w:hAnsi="Times New Roman"/>
          <w:sz w:val="18"/>
          <w:szCs w:val="18"/>
          <w:color w:val="auto"/>
        </w:rPr>
        <w:t>To Westwood's knowledge, based solely on a review of the copies of such reports furnished to us and written representations that no other reports were required, we believe that our officers, directors and greater-than-ten-percent beneficial owners complied in a timely fashion with all Section 16(a) filing requirements applicable to them, with the exception of a late Form 3 filing made for each of Adrian Helfert, J. Porter Montgomery, Matthew Lockridge and Leah Bennett, each a newly designated Section 16 officer, resulting from a delay in obtaining the necessary EDGAR filing codes, and one late Form 4 filing made for Leah Bennett, an executive officer, resulting in a failure to timely report one transaction as to Ms. Bennett.</w:t>
      </w:r>
    </w:p>
    <w:p>
      <w:pPr>
        <w:spacing w:after="0" w:line="7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Stockholders may present proper proposals for inclusion in our proxy statement and form of proxy for consideration at the 2024 annual meeting of stockholders pursuant to Rule 14a-8 under the Exchange Act by submitting their proposals to our Corporate Secretary in a timely manner. Such proposals must be received at our principal executive offices no later than the close of business on November 21, 2023. Proposals should be submitted in writing to 200 Crescent Court, Suite 1200, Dallas, Texas 75201, Attn: Corporate Secretary. Such stockholder proposals must comply with all applicable legal requirements, including Rule 14a-8 under the Exchange Act.</w:t>
      </w:r>
    </w:p>
    <w:p>
      <w:pPr>
        <w:spacing w:after="0" w:line="7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For stockholder proposals not intended to be submitted in next year’s proxy materials, but sought to be presented at next year’s annual meeting of stockholders, our Bylaws provide that such proposals, including director nominations, must be received by our Corporate Secretary at our principal executive offices not later than the close of business on January 26, 2024 and not earlier than the close of business on December 27, 2023. In the event that the date of the 2024 annual meeting of stockholders is more than 30 days before or more than 60 days after the one-year anniversary of the 2023 Annual Meeting of Stockholders, notice of such any such stockholder proposal must be received no earlier than the close of business on the 120th day before 2024 annual meeting of stockholders and no later than the close of business on the later of the two following dates: the ninetieth 90th day prior to 2024 annual meeting of stockholders, or the 10th day following the day on which public announcement of the date our 2024 annual meeting of stockholders is first made.</w:t>
      </w:r>
    </w:p>
    <w:p>
      <w:pPr>
        <w:spacing w:after="0" w:line="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right="20" w:firstLine="405"/>
        <w:spacing w:after="0" w:line="261" w:lineRule="auto"/>
        <w:rPr>
          <w:sz w:val="20"/>
          <w:szCs w:val="20"/>
          <w:color w:val="auto"/>
        </w:rPr>
      </w:pPr>
      <w:r>
        <w:rPr>
          <w:rFonts w:ascii="Times New Roman" w:cs="Times New Roman" w:eastAsia="Times New Roman" w:hAnsi="Times New Roman"/>
          <w:sz w:val="18"/>
          <w:szCs w:val="18"/>
          <w:color w:val="auto"/>
        </w:rPr>
        <w:t>Our 2022 Annual Report to Stockholders, which includes our consolidated financial statements as of and for the year ended December 31, 2022, is being mailed to you along with this proxy statement. Upon written request, we will provide, without charge to stockholder, a copy of our 2022 Form 10-K, including the financial statements and financial statement schedules to such report. Requests should be directed to 200 Crescent Court, Suite 1200, Dallas, Texas 75201, Attn: Corporate Secretary.</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Unless we have received contrary instructions, we may send a single copy of this proxy statement and notice of annual meeting to any household at which two or more stockholders reside if we believe the stockholders are members of the same family. Each stockholder in the household will continue to receive a separate proxy card. This process, known as "householding," reduces the volume of duplicate information received at any one household and helps to reduce our expenses. However, if stockholders prefer to receive multiple sets of our disclosure documents at the same address this year or in future years, they should follow the instructions described below. Similarly, if an address is shared with another stockholder and both stockholders would like to receive only a single set of our disclosure documents, they should follow these instructions:</w:t>
      </w:r>
    </w:p>
    <w:p>
      <w:pPr>
        <w:spacing w:after="0" w:line="79" w:lineRule="exact"/>
        <w:rPr>
          <w:sz w:val="20"/>
          <w:szCs w:val="20"/>
          <w:color w:val="auto"/>
        </w:rPr>
      </w:pPr>
    </w:p>
    <w:p>
      <w:pPr>
        <w:ind w:left="660" w:right="40" w:hanging="328"/>
        <w:spacing w:after="0" w:line="282" w:lineRule="auto"/>
        <w:tabs>
          <w:tab w:leader="none" w:pos="6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registered in the name of the stockholder, stockholders should contact us at our offices at 200 Crescent Court, Suite 1200, Dallas, Texas 75201, Attention: Corporate Secretary, or by telephone at 214-756-6900, to inform us of the request.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bank, broker or other nominee holds the shares, stockholders should contact the bank, broker or other nominee directly.</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80"/>
          </w:cols>
          <w:pgMar w:left="320" w:top="549" w:right="399" w:bottom="1440" w:gutter="0" w:footer="0" w:header="0"/>
        </w:sectPr>
      </w:pPr>
    </w:p>
    <w:bookmarkStart w:id="43" w:name="page44"/>
    <w:bookmarkEnd w:id="4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Our Board of Directors knows of no other matters that will be presented for consideration at the annual meeting. If any other matters are properly brought before the meeting, it is the intention of the persons named as proxy holder in the accompanying proxy to vote on such matters in their discretion.</w:t>
      </w:r>
    </w:p>
    <w:p>
      <w:pPr>
        <w:spacing w:after="0" w:line="14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68580</wp:posOffset>
            </wp:positionV>
            <wp:extent cx="977265"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7726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Brian O. Casey</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549" w:right="47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NINTH AMENDED AND RESTATED WESTWOOD HOLDINGS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200" w:lineRule="exact"/>
        <w:rPr>
          <w:sz w:val="20"/>
          <w:szCs w:val="20"/>
          <w:color w:val="auto"/>
        </w:rPr>
      </w:pPr>
    </w:p>
    <w:p>
      <w:pPr>
        <w:spacing w:after="0" w:line="268" w:lineRule="exact"/>
        <w:rPr>
          <w:sz w:val="20"/>
          <w:szCs w:val="20"/>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ESTABLISHMENT, PURPOSE AND TERM OF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1300" w:right="320" w:hanging="644"/>
        <w:spacing w:after="0" w:line="286"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Establishment. </w:t>
      </w:r>
      <w:r>
        <w:rPr>
          <w:rFonts w:ascii="Times New Roman" w:cs="Times New Roman" w:eastAsia="Times New Roman" w:hAnsi="Times New Roman"/>
          <w:sz w:val="18"/>
          <w:szCs w:val="18"/>
          <w:color w:val="auto"/>
        </w:rPr>
        <w:t>This Ninth Amended and Restated Westwood Holdings Group, Inc. Stock Incentive Plan, as amended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established effective as of March 16,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300" w:right="280" w:hanging="644"/>
        <w:spacing w:after="0" w:line="268"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the Plan is to advance the interests of the Participating Company Group and its stockholders by providing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to attract and retain persons performing services for the Participating Company Group and by motivating such persons to contribute to the growth and profitability of the Participating Company Group.</w:t>
      </w:r>
    </w:p>
    <w:p>
      <w:pPr>
        <w:spacing w:after="0" w:line="62" w:lineRule="exact"/>
        <w:rPr>
          <w:rFonts w:ascii="Times New Roman" w:cs="Times New Roman" w:eastAsia="Times New Roman" w:hAnsi="Times New Roman"/>
          <w:sz w:val="18"/>
          <w:szCs w:val="18"/>
          <w:color w:val="auto"/>
        </w:rPr>
      </w:pPr>
    </w:p>
    <w:p>
      <w:pPr>
        <w:jc w:val="both"/>
        <w:ind w:left="1300" w:right="220" w:hanging="644"/>
        <w:spacing w:after="0" w:line="262" w:lineRule="auto"/>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of Plan. </w:t>
      </w:r>
      <w:r>
        <w:rPr>
          <w:rFonts w:ascii="Times New Roman" w:cs="Times New Roman" w:eastAsia="Times New Roman" w:hAnsi="Times New Roman"/>
          <w:sz w:val="18"/>
          <w:szCs w:val="18"/>
          <w:color w:val="auto"/>
        </w:rPr>
        <w:t>The Plan shall continue in effect until the earlier of its termination by the Board or the date on which all of the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available for issuance under the Plan have been issued and all restrictions on such shares (if any) under the terms of the Plan and the agreements evidencing the Awards granted under the Plan have lapsed. However, all Awards shall be granted, if at all, on or before March 10, 2027.</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 AND CONSTRUCTION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 Whenever used herein, the followin</w:t>
      </w:r>
      <w:r>
        <w:rPr>
          <w:rFonts w:ascii="Times New Roman" w:cs="Times New Roman" w:eastAsia="Times New Roman" w:hAnsi="Times New Roman"/>
          <w:sz w:val="18"/>
          <w:szCs w:val="18"/>
          <w:color w:val="auto"/>
        </w:rPr>
        <w:t>g terms shall have their respective meanings set forth below:</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17.2.</w:t>
      </w:r>
    </w:p>
    <w:p>
      <w:pPr>
        <w:spacing w:after="0" w:line="11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11.1.</w:t>
      </w:r>
    </w:p>
    <w:p>
      <w:pPr>
        <w:spacing w:after="0" w:line="117" w:lineRule="exact"/>
        <w:rPr>
          <w:rFonts w:ascii="Times New Roman" w:cs="Times New Roman" w:eastAsia="Times New Roman" w:hAnsi="Times New Roman"/>
          <w:sz w:val="18"/>
          <w:szCs w:val="18"/>
          <w:color w:val="auto"/>
        </w:rPr>
      </w:pPr>
    </w:p>
    <w:p>
      <w:pPr>
        <w:ind w:left="1960" w:right="220" w:hanging="656"/>
        <w:spacing w:after="0" w:line="268" w:lineRule="auto"/>
        <w:tabs>
          <w:tab w:leader="none" w:pos="1950" w:val="left"/>
        </w:tabs>
        <w:numPr>
          <w:ilvl w:val="2"/>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form of incentive or performance award granted under the Plan, whether singly or in combination,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by the Committee pursuant to such terms, conditions, restrictions and/or limitations (if any) as the Committee may establish. Awards granted under the Plan may include:</w:t>
      </w:r>
    </w:p>
    <w:p>
      <w:pPr>
        <w:spacing w:after="0" w:line="66" w:lineRule="exact"/>
        <w:rPr>
          <w:rFonts w:ascii="Times New Roman" w:cs="Times New Roman" w:eastAsia="Times New Roman" w:hAnsi="Times New Roman"/>
          <w:sz w:val="18"/>
          <w:szCs w:val="18"/>
          <w:color w:val="auto"/>
        </w:rPr>
      </w:pPr>
    </w:p>
    <w:p>
      <w:pPr>
        <w:ind w:left="2600" w:hanging="743"/>
        <w:spacing w:after="0"/>
        <w:tabs>
          <w:tab w:leader="none" w:pos="2600" w:val="left"/>
        </w:tabs>
        <w:numPr>
          <w:ilvl w:val="4"/>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awarded pursuant to Sections 6;</w:t>
      </w:r>
    </w:p>
    <w:p>
      <w:pPr>
        <w:spacing w:after="0" w:line="117" w:lineRule="exact"/>
        <w:rPr>
          <w:rFonts w:ascii="Times New Roman" w:cs="Times New Roman" w:eastAsia="Times New Roman" w:hAnsi="Times New Roman"/>
          <w:sz w:val="18"/>
          <w:szCs w:val="18"/>
          <w:color w:val="auto"/>
        </w:rPr>
      </w:pPr>
    </w:p>
    <w:p>
      <w:pPr>
        <w:ind w:left="2600" w:hanging="793"/>
        <w:spacing w:after="0"/>
        <w:tabs>
          <w:tab w:leader="none" w:pos="2600" w:val="left"/>
        </w:tabs>
        <w:numPr>
          <w:ilvl w:val="4"/>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awarded pursuant to Section 7;</w:t>
      </w:r>
    </w:p>
    <w:p>
      <w:pPr>
        <w:spacing w:after="0" w:line="117" w:lineRule="exact"/>
        <w:rPr>
          <w:rFonts w:ascii="Times New Roman" w:cs="Times New Roman" w:eastAsia="Times New Roman" w:hAnsi="Times New Roman"/>
          <w:sz w:val="18"/>
          <w:szCs w:val="18"/>
          <w:color w:val="auto"/>
        </w:rPr>
      </w:pPr>
    </w:p>
    <w:p>
      <w:pPr>
        <w:ind w:left="2600" w:hanging="842"/>
        <w:spacing w:after="0"/>
        <w:tabs>
          <w:tab w:leader="none" w:pos="2600" w:val="left"/>
        </w:tabs>
        <w:numPr>
          <w:ilvl w:val="4"/>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awarded pursuant to Section 9;</w:t>
      </w:r>
    </w:p>
    <w:p>
      <w:pPr>
        <w:spacing w:after="0" w:line="117" w:lineRule="exact"/>
        <w:rPr>
          <w:rFonts w:ascii="Times New Roman" w:cs="Times New Roman" w:eastAsia="Times New Roman" w:hAnsi="Times New Roman"/>
          <w:sz w:val="18"/>
          <w:szCs w:val="18"/>
          <w:color w:val="auto"/>
        </w:rPr>
      </w:pPr>
    </w:p>
    <w:p>
      <w:pPr>
        <w:ind w:left="2580" w:hanging="813"/>
        <w:spacing w:after="0"/>
        <w:tabs>
          <w:tab w:leader="none" w:pos="2580"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 awarded pursuant to Section 10.</w:t>
      </w:r>
    </w:p>
    <w:p>
      <w:pPr>
        <w:spacing w:after="0" w:line="117" w:lineRule="exact"/>
        <w:rPr>
          <w:rFonts w:ascii="Times New Roman" w:cs="Times New Roman" w:eastAsia="Times New Roman" w:hAnsi="Times New Roman"/>
          <w:sz w:val="18"/>
          <w:szCs w:val="18"/>
          <w:color w:val="auto"/>
        </w:rPr>
      </w:pPr>
    </w:p>
    <w:p>
      <w:pPr>
        <w:ind w:left="2580" w:hanging="763"/>
        <w:spacing w:after="0"/>
        <w:tabs>
          <w:tab w:leader="none" w:pos="2580" w:val="left"/>
        </w:tabs>
        <w:numPr>
          <w:ilvl w:val="3"/>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Stock-Based Awards awarded pursuant to Section 14.</w:t>
      </w:r>
    </w:p>
    <w:p>
      <w:pPr>
        <w:spacing w:after="0" w:line="117" w:lineRule="exact"/>
        <w:rPr>
          <w:rFonts w:ascii="Times New Roman" w:cs="Times New Roman" w:eastAsia="Times New Roman" w:hAnsi="Times New Roman"/>
          <w:sz w:val="18"/>
          <w:szCs w:val="18"/>
          <w:color w:val="auto"/>
        </w:rPr>
      </w:pPr>
    </w:p>
    <w:p>
      <w:pPr>
        <w:ind w:left="2600" w:hanging="833"/>
        <w:spacing w:after="0"/>
        <w:tabs>
          <w:tab w:leader="none" w:pos="2600" w:val="left"/>
        </w:tabs>
        <w:numPr>
          <w:ilvl w:val="4"/>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awarded pursuant to Section 11;</w:t>
      </w:r>
    </w:p>
    <w:p>
      <w:pPr>
        <w:spacing w:after="0" w:line="117" w:lineRule="exact"/>
        <w:rPr>
          <w:rFonts w:ascii="Times New Roman" w:cs="Times New Roman" w:eastAsia="Times New Roman" w:hAnsi="Times New Roman"/>
          <w:sz w:val="18"/>
          <w:szCs w:val="18"/>
          <w:color w:val="auto"/>
        </w:rPr>
      </w:pPr>
    </w:p>
    <w:p>
      <w:pPr>
        <w:ind w:left="2600" w:hanging="883"/>
        <w:spacing w:after="0"/>
        <w:tabs>
          <w:tab w:leader="none" w:pos="2600" w:val="left"/>
        </w:tabs>
        <w:numPr>
          <w:ilvl w:val="4"/>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Awards awarded pursuant to Section 12; and</w:t>
      </w:r>
    </w:p>
    <w:p>
      <w:pPr>
        <w:spacing w:after="0" w:line="117" w:lineRule="exact"/>
        <w:rPr>
          <w:rFonts w:ascii="Times New Roman" w:cs="Times New Roman" w:eastAsia="Times New Roman" w:hAnsi="Times New Roman"/>
          <w:sz w:val="18"/>
          <w:szCs w:val="18"/>
          <w:color w:val="auto"/>
        </w:rPr>
      </w:pPr>
    </w:p>
    <w:p>
      <w:pPr>
        <w:ind w:left="2600" w:hanging="933"/>
        <w:spacing w:after="0"/>
        <w:tabs>
          <w:tab w:leader="none" w:pos="2600" w:val="left"/>
        </w:tabs>
        <w:numPr>
          <w:ilvl w:val="4"/>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awarded pursuant to Section 13.</w:t>
      </w:r>
    </w:p>
    <w:p>
      <w:pPr>
        <w:spacing w:after="0" w:line="113" w:lineRule="exact"/>
        <w:rPr>
          <w:rFonts w:ascii="Times New Roman" w:cs="Times New Roman" w:eastAsia="Times New Roman" w:hAnsi="Times New Roman"/>
          <w:sz w:val="18"/>
          <w:szCs w:val="18"/>
          <w:color w:val="auto"/>
        </w:rPr>
      </w:pPr>
    </w:p>
    <w:p>
      <w:pPr>
        <w:ind w:left="1960" w:right="240" w:hanging="656"/>
        <w:spacing w:after="0" w:line="286" w:lineRule="auto"/>
        <w:tabs>
          <w:tab w:leader="none" w:pos="196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written or electronic agreement between the Company and a Participant setting forth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and restrictions of an Award granted to the Participant.</w:t>
      </w:r>
    </w:p>
    <w:p>
      <w:pPr>
        <w:spacing w:after="0" w:line="46"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Board of Directors of the Company.</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6.3(a).</w:t>
      </w:r>
    </w:p>
    <w:p>
      <w:pPr>
        <w:spacing w:after="0" w:line="117" w:lineRule="exact"/>
        <w:rPr>
          <w:rFonts w:ascii="Times New Roman" w:cs="Times New Roman" w:eastAsia="Times New Roman" w:hAnsi="Times New Roman"/>
          <w:sz w:val="18"/>
          <w:szCs w:val="18"/>
          <w:color w:val="auto"/>
        </w:rPr>
      </w:pPr>
    </w:p>
    <w:p>
      <w:pPr>
        <w:ind w:left="1960" w:right="40" w:hanging="656"/>
        <w:spacing w:after="0" w:line="254" w:lineRule="auto"/>
        <w:tabs>
          <w:tab w:leader="none" w:pos="1960" w:val="left"/>
        </w:tabs>
        <w:numPr>
          <w:ilvl w:val="2"/>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any of the following: (i) the Participant’s theft of a Participating Company’s property or falsification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Participating Company documents or records; (ii) the Participant’s improper use or disclosure of a Participating Company’s confidential or proprietary information; (iii) any action by the Participant which has a detrimental effect on a Participating Company’s reputation or business; (iv) the Participant’s failure or inability to perform any reasonable assigned duties after written notice from the Participating Company Group or any Participating Company of, and a reasonable opportunity to cure, such failure or inability; (v) any material breach by the Participant of any employment agreement between the Participant and the Participating Company Group or any Participating Company, which breach is not cured pursuant to the terms of such agreement; or (vi) the Participant’s conviction (including any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of any felony or any other criminal act which impairs the Participant’s ability to perform his or her duties with the Participating Company Group or any Participating Company.</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864" w:right="339" w:bottom="1440" w:gutter="0" w:footer="0" w:header="0"/>
        </w:sectPr>
      </w:pPr>
    </w:p>
    <w:bookmarkStart w:id="45" w:name="page46"/>
    <w:bookmarkEnd w:id="45"/>
    <w:p>
      <w:pPr>
        <w:ind w:left="840" w:hanging="656"/>
        <w:spacing w:after="0"/>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17.1.</w:t>
      </w:r>
    </w:p>
    <w:p>
      <w:pPr>
        <w:spacing w:after="0" w:line="117"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Internal Revenue Code of 1986, as amended, and any applicable regulations promulgated thereunder.</w:t>
      </w:r>
    </w:p>
    <w:p>
      <w:pPr>
        <w:spacing w:after="0" w:line="117" w:lineRule="exact"/>
        <w:rPr>
          <w:rFonts w:ascii="Times New Roman" w:cs="Times New Roman" w:eastAsia="Times New Roman" w:hAnsi="Times New Roman"/>
          <w:sz w:val="18"/>
          <w:szCs w:val="18"/>
          <w:color w:val="auto"/>
        </w:rPr>
      </w:pPr>
    </w:p>
    <w:p>
      <w:pPr>
        <w:ind w:left="840" w:right="160" w:hanging="656"/>
        <w:spacing w:after="0" w:line="257" w:lineRule="auto"/>
        <w:tabs>
          <w:tab w:leader="none" w:pos="8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Compensation and Human Capital Committee or other committee of the Board duly appointed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administer the Plan and having such powers as shall be specified by the Board. Unless the powers of the Committee have been specifically limited, the Committee shall have all of the powers of the Board granted herein, including, without limitation, the power to amend or terminate the Plan at any time, subject to the terms of the Plan and any applicable limitations imposed by law. In the absence of the Compensation and Human Capital Committee or other committee of the Board duly appointed to administer the Plan,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also means the Board.</w:t>
      </w:r>
    </w:p>
    <w:p>
      <w:pPr>
        <w:spacing w:after="0" w:line="74"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Westwood Holdings Group, Inc., a Delaware corporation, or any successor corporation thereto.</w:t>
      </w:r>
    </w:p>
    <w:p>
      <w:pPr>
        <w:spacing w:after="0" w:line="117" w:lineRule="exact"/>
        <w:rPr>
          <w:rFonts w:ascii="Times New Roman" w:cs="Times New Roman" w:eastAsia="Times New Roman" w:hAnsi="Times New Roman"/>
          <w:sz w:val="18"/>
          <w:szCs w:val="18"/>
          <w:color w:val="auto"/>
        </w:rPr>
      </w:pPr>
    </w:p>
    <w:p>
      <w:pPr>
        <w:ind w:left="840" w:right="40" w:hanging="656"/>
        <w:spacing w:after="0" w:line="257" w:lineRule="auto"/>
        <w:tabs>
          <w:tab w:leader="none" w:pos="8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person engaged to provide consulting or advisory services (other than as an Employee or a Director)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Company, provided that the identity of such person, the nature of such services or the entity to which such services are provided would not preclude the Company from offering or selling securities to such person pursuant to the Plan in reliance on either the exemption from registration provided by Rule 701 under the Securities Act or, if the Company is required to file reports pursuant to Section 13 or 15(d) of the Exchange Act, registration on a Form S-8 Registration Statement under the Securities Act.</w:t>
      </w:r>
    </w:p>
    <w:p>
      <w:pPr>
        <w:spacing w:after="0" w:line="74"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or of the board of directors of any other Participating Company.</w:t>
      </w:r>
    </w:p>
    <w:p>
      <w:pPr>
        <w:spacing w:after="0" w:line="117"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permanent and total disability of the Participant within the meaning of Section 22(e)(3) of the Code.</w:t>
      </w:r>
    </w:p>
    <w:p>
      <w:pPr>
        <w:spacing w:after="0" w:line="117" w:lineRule="exact"/>
        <w:rPr>
          <w:rFonts w:ascii="Times New Roman" w:cs="Times New Roman" w:eastAsia="Times New Roman" w:hAnsi="Times New Roman"/>
          <w:sz w:val="18"/>
          <w:szCs w:val="18"/>
          <w:color w:val="auto"/>
        </w:rPr>
      </w:pPr>
    </w:p>
    <w:p>
      <w:pPr>
        <w:ind w:left="840" w:right="40" w:hanging="656"/>
        <w:spacing w:after="0" w:line="262" w:lineRule="auto"/>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any person treated as an employee (including an officer or a Director who is also treated as an employee)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records of a Participating Company and, with respect to any Incentive Stock Option granted to such person, who is an employee for purposes of Section 422 of the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service as a Director nor payment of a director’s fee shall be sufficient to constitute employment for purposes of the Plan.</w:t>
      </w:r>
    </w:p>
    <w:p>
      <w:pPr>
        <w:spacing w:after="0" w:line="68" w:lineRule="exact"/>
        <w:rPr>
          <w:rFonts w:ascii="Times New Roman" w:cs="Times New Roman" w:eastAsia="Times New Roman" w:hAnsi="Times New Roman"/>
          <w:sz w:val="18"/>
          <w:szCs w:val="18"/>
          <w:color w:val="auto"/>
        </w:rPr>
      </w:pPr>
    </w:p>
    <w:p>
      <w:pPr>
        <w:ind w:left="840" w:hanging="656"/>
        <w:spacing w:after="0"/>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Exchange Act of 1934, as amended.</w:t>
      </w:r>
    </w:p>
    <w:p>
      <w:pPr>
        <w:spacing w:after="0" w:line="117" w:lineRule="exact"/>
        <w:rPr>
          <w:rFonts w:ascii="Times New Roman" w:cs="Times New Roman" w:eastAsia="Times New Roman" w:hAnsi="Times New Roman"/>
          <w:sz w:val="18"/>
          <w:szCs w:val="18"/>
          <w:color w:val="auto"/>
        </w:rPr>
      </w:pPr>
    </w:p>
    <w:p>
      <w:pPr>
        <w:ind w:left="840" w:hanging="656"/>
        <w:spacing w:after="0" w:line="268" w:lineRule="auto"/>
        <w:tabs>
          <w:tab w:leader="none" w:pos="8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as of any date, the value of a share of Stock or other property as determined by the Committee,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discretion, or by the Company, in its discretion, if such determination is expressly allocated to the Company herein, subject to the following:</w:t>
      </w:r>
    </w:p>
    <w:p>
      <w:pPr>
        <w:spacing w:after="0" w:line="66" w:lineRule="exact"/>
        <w:rPr>
          <w:rFonts w:ascii="Times New Roman" w:cs="Times New Roman" w:eastAsia="Times New Roman" w:hAnsi="Times New Roman"/>
          <w:sz w:val="18"/>
          <w:szCs w:val="18"/>
          <w:color w:val="auto"/>
        </w:rPr>
      </w:pPr>
    </w:p>
    <w:p>
      <w:pPr>
        <w:ind w:left="1480" w:right="40" w:hanging="743"/>
        <w:spacing w:after="0" w:line="254" w:lineRule="auto"/>
        <w:tabs>
          <w:tab w:leader="none" w:pos="14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such date, the Stock is listed on a national or regional securities exchange or market system, the Fair Market Value of a share of Stock shall be the closing price of a share of Stock (or the mean of the closing bid and asked prices of a share of Stock if the Stock is so quoted instead) as quoted on the New York Stock Exchange or such other national or regional securities exchange or market system constituting the primary market for the Stock, as reported in </w:t>
      </w:r>
      <w:r>
        <w:rPr>
          <w:rFonts w:ascii="Times New Roman" w:cs="Times New Roman" w:eastAsia="Times New Roman" w:hAnsi="Times New Roman"/>
          <w:sz w:val="18"/>
          <w:szCs w:val="18"/>
          <w:u w:val="single" w:color="auto"/>
          <w:color w:val="auto"/>
        </w:rPr>
        <w:t>The 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Street Journal</w:t>
      </w:r>
      <w:r>
        <w:rPr>
          <w:rFonts w:ascii="Times New Roman" w:cs="Times New Roman" w:eastAsia="Times New Roman" w:hAnsi="Times New Roman"/>
          <w:sz w:val="18"/>
          <w:szCs w:val="18"/>
          <w:color w:val="auto"/>
        </w:rPr>
        <w:t xml:space="preserve"> or such other source as the Company deems reliable. If the relevant date does not fall on a day on which the Stock has traded on such securities exchange or market system, the date on which the Fair Market Value shall be established shall be the last day on which the Stock was so traded prior to the relevant date, or such other appropriate day as shall be determined by the Committee, in its discretion.</w:t>
      </w:r>
    </w:p>
    <w:p>
      <w:pPr>
        <w:spacing w:after="0" w:line="83" w:lineRule="exact"/>
        <w:rPr>
          <w:rFonts w:ascii="Times New Roman" w:cs="Times New Roman" w:eastAsia="Times New Roman" w:hAnsi="Times New Roman"/>
          <w:sz w:val="18"/>
          <w:szCs w:val="18"/>
          <w:color w:val="auto"/>
        </w:rPr>
      </w:pPr>
    </w:p>
    <w:p>
      <w:pPr>
        <w:ind w:left="1480" w:right="120" w:hanging="793"/>
        <w:spacing w:after="0" w:line="261" w:lineRule="auto"/>
        <w:tabs>
          <w:tab w:leader="none" w:pos="148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such date, the Stock is not listed on a national or regional securities exchange or market system, the Fair Market Value of a share of Stock shall be as determined by the Committee in good faith based on a reasonable valuation method that is consistent with the requirements of Section 409A of the Code and the regulations thereunder, without regard to any restriction other than a restriction which, by its terms, will never lapse.</w:t>
      </w:r>
    </w:p>
    <w:p>
      <w:pPr>
        <w:spacing w:after="0" w:line="67" w:lineRule="exact"/>
        <w:rPr>
          <w:rFonts w:ascii="Times New Roman" w:cs="Times New Roman" w:eastAsia="Times New Roman" w:hAnsi="Times New Roman"/>
          <w:sz w:val="18"/>
          <w:szCs w:val="18"/>
          <w:color w:val="auto"/>
        </w:rPr>
      </w:pPr>
    </w:p>
    <w:p>
      <w:pPr>
        <w:ind w:left="840" w:hanging="656"/>
        <w:spacing w:after="0" w:line="262" w:lineRule="auto"/>
        <w:tabs>
          <w:tab w:leader="none" w:pos="8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 resignation occurring within ninety (90) days following a Change in Control; (ii) the relocation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principal place of business of the Participating Company for which the Participant renders Service to a location more than 40 miles from its location as of the date of the Change in Control without the Participant’s consent or (iii) a material reduction in the Participant’s salary or bonus opportunity, or in the Participant’s responsibilities.</w:t>
      </w:r>
    </w:p>
    <w:p>
      <w:pPr>
        <w:spacing w:after="0" w:line="68" w:lineRule="exact"/>
        <w:rPr>
          <w:rFonts w:ascii="Times New Roman" w:cs="Times New Roman" w:eastAsia="Times New Roman" w:hAnsi="Times New Roman"/>
          <w:sz w:val="18"/>
          <w:szCs w:val="18"/>
          <w:color w:val="auto"/>
        </w:rPr>
      </w:pPr>
    </w:p>
    <w:p>
      <w:pPr>
        <w:ind w:left="840" w:right="300" w:hanging="656"/>
        <w:spacing w:after="0" w:line="286" w:lineRule="auto"/>
        <w:tabs>
          <w:tab w:leader="none" w:pos="833"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intended to be (as set forth in the Option Agreement), and which qualifies as,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stock option within the meaning of Section 422(b) of the Code.</w:t>
      </w:r>
    </w:p>
    <w:p>
      <w:pPr>
        <w:spacing w:after="0" w:line="46" w:lineRule="exact"/>
        <w:rPr>
          <w:rFonts w:ascii="Times New Roman" w:cs="Times New Roman" w:eastAsia="Times New Roman" w:hAnsi="Times New Roman"/>
          <w:sz w:val="18"/>
          <w:szCs w:val="18"/>
          <w:color w:val="auto"/>
        </w:rPr>
      </w:pPr>
    </w:p>
    <w:p>
      <w:pPr>
        <w:ind w:left="840" w:right="60" w:hanging="656"/>
        <w:spacing w:after="0" w:line="286" w:lineRule="auto"/>
        <w:tabs>
          <w:tab w:leader="none" w:pos="82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Insider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officer or a Director of the Company or any other person whose transactions in Stock are subject to Section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16 of the Exchange Act.</w:t>
      </w:r>
    </w:p>
    <w:p>
      <w:pPr>
        <w:spacing w:after="0" w:line="5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100"/>
          </w:cols>
          <w:pgMar w:left="1440" w:top="549" w:right="359" w:bottom="1440" w:gutter="0" w:footer="0" w:header="0"/>
        </w:sectPr>
      </w:pPr>
    </w:p>
    <w:bookmarkStart w:id="46" w:name="page47"/>
    <w:bookmarkEnd w:id="46"/>
    <w:p>
      <w:pPr>
        <w:ind w:left="840" w:hanging="656"/>
        <w:spacing w:after="0"/>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member of the Board who is not an active Employee of the Company or any Subsidiary.</w:t>
      </w:r>
    </w:p>
    <w:p>
      <w:pPr>
        <w:spacing w:after="0" w:line="117" w:lineRule="exact"/>
        <w:rPr>
          <w:rFonts w:ascii="Times New Roman" w:cs="Times New Roman" w:eastAsia="Times New Roman" w:hAnsi="Times New Roman"/>
          <w:sz w:val="18"/>
          <w:szCs w:val="18"/>
          <w:color w:val="auto"/>
        </w:rPr>
      </w:pPr>
    </w:p>
    <w:p>
      <w:pPr>
        <w:ind w:left="840" w:right="340" w:hanging="656"/>
        <w:spacing w:after="0" w:line="286" w:lineRule="auto"/>
        <w:tabs>
          <w:tab w:leader="none" w:pos="8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Option not intended to be (as set forth in the Option Agreement), or which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qualify as, an Incentive Stock Option.</w:t>
      </w:r>
    </w:p>
    <w:p>
      <w:pPr>
        <w:spacing w:after="0" w:line="46"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Stock-Based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means an Award granted to an eligible person under Section 14 hereof.</w:t>
      </w:r>
    </w:p>
    <w:p>
      <w:pPr>
        <w:spacing w:after="0" w:line="117" w:lineRule="exact"/>
        <w:rPr>
          <w:rFonts w:ascii="Times New Roman" w:cs="Times New Roman" w:eastAsia="Times New Roman" w:hAnsi="Times New Roman"/>
          <w:sz w:val="18"/>
          <w:szCs w:val="18"/>
          <w:color w:val="auto"/>
        </w:rPr>
      </w:pPr>
    </w:p>
    <w:p>
      <w:pPr>
        <w:ind w:left="840" w:right="760" w:hanging="656"/>
        <w:spacing w:after="0" w:line="286" w:lineRule="auto"/>
        <w:tabs>
          <w:tab w:leader="none" w:pos="8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to purchase Stock (subject to adjustment as provided in Section 4.3) pursuant to the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the Plan. An Option may be either an Incentive Stock Option or a Nonstatutory Stock Option.</w:t>
      </w:r>
    </w:p>
    <w:p>
      <w:pPr>
        <w:spacing w:after="0" w:line="46" w:lineRule="exact"/>
        <w:rPr>
          <w:rFonts w:ascii="Times New Roman" w:cs="Times New Roman" w:eastAsia="Times New Roman" w:hAnsi="Times New Roman"/>
          <w:sz w:val="18"/>
          <w:szCs w:val="18"/>
          <w:color w:val="auto"/>
        </w:rPr>
      </w:pPr>
    </w:p>
    <w:p>
      <w:pPr>
        <w:ind w:left="840" w:right="60" w:hanging="656"/>
        <w:spacing w:after="0" w:line="262" w:lineRule="auto"/>
        <w:tabs>
          <w:tab w:leader="none" w:pos="82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Agreement setting forth the terms, conditions and restrictions of an Option granted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and any shares acquired upon the exercise thereof. An Option Agreement may consist of a form of “Notice of Grant of Stock Option” and a form of “Stock Option Agreement” incorporated therein by reference, or such other form or forms as the Committee may approve from time to time.</w:t>
      </w:r>
    </w:p>
    <w:p>
      <w:pPr>
        <w:spacing w:after="0" w:line="68" w:lineRule="exact"/>
        <w:rPr>
          <w:rFonts w:ascii="Times New Roman" w:cs="Times New Roman" w:eastAsia="Times New Roman" w:hAnsi="Times New Roman"/>
          <w:sz w:val="18"/>
          <w:szCs w:val="18"/>
          <w:color w:val="auto"/>
        </w:rPr>
      </w:pPr>
    </w:p>
    <w:p>
      <w:pPr>
        <w:ind w:left="820" w:hanging="636"/>
        <w:spacing w:after="0"/>
        <w:tabs>
          <w:tab w:leader="none" w:pos="8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6.4(a)(i).</w:t>
      </w:r>
    </w:p>
    <w:p>
      <w:pPr>
        <w:spacing w:after="0" w:line="117" w:lineRule="exact"/>
        <w:rPr>
          <w:sz w:val="20"/>
          <w:szCs w:val="20"/>
          <w:color w:val="auto"/>
        </w:rPr>
      </w:pPr>
    </w:p>
    <w:p>
      <w:pPr>
        <w:ind w:left="820" w:hanging="636"/>
        <w:spacing w:after="0"/>
        <w:tabs>
          <w:tab w:leader="none" w:pos="8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has the meaning given to it in Section 17.1.</w:t>
      </w:r>
    </w:p>
    <w:p>
      <w:pPr>
        <w:spacing w:after="0" w:line="117" w:lineRule="exact"/>
        <w:rPr>
          <w:sz w:val="20"/>
          <w:szCs w:val="20"/>
          <w:color w:val="auto"/>
        </w:rPr>
      </w:pPr>
    </w:p>
    <w:p>
      <w:pPr>
        <w:ind w:left="840" w:right="140" w:hanging="659"/>
        <w:spacing w:after="0" w:line="257" w:lineRule="auto"/>
        <w:tabs>
          <w:tab w:leader="none" w:pos="82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any “parent corporation” as defined in Section 424(e) of the Code and any successor provisions; (ii)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entity that is taxed as a corporation under Section 7701(a)(3) of the Code and is a member of the “affiliated group” as defined in Section 1504(a) of the Code of which the Company is a common subsidiary corporation, and (iii) any other entity as may be permitted from time to time by the Code or the Internal Revenue Service to be an employer of employees to whom Options may be granted; provided, however, that in each case the Company must be consolidated in the Parent’s financial statements.</w:t>
      </w:r>
    </w:p>
    <w:p>
      <w:pPr>
        <w:spacing w:after="0" w:line="74"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person who has been granted one or more awards pursuant to the terms and conditions of the Plan.</w:t>
      </w:r>
    </w:p>
    <w:p>
      <w:pPr>
        <w:spacing w:after="0" w:line="117"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ad.</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Company or any Parent or Subsidiary.</w:t>
      </w:r>
    </w:p>
    <w:p>
      <w:pPr>
        <w:spacing w:after="0" w:line="117" w:lineRule="exact"/>
        <w:rPr>
          <w:sz w:val="20"/>
          <w:szCs w:val="20"/>
          <w:color w:val="auto"/>
        </w:rPr>
      </w:pPr>
    </w:p>
    <w:p>
      <w:pPr>
        <w:ind w:left="820" w:right="480" w:hanging="647"/>
        <w:spacing w:after="0" w:line="286" w:lineRule="auto"/>
        <w:tabs>
          <w:tab w:leader="none" w:pos="800" w:val="left"/>
        </w:tabs>
        <w:rPr>
          <w:sz w:val="20"/>
          <w:szCs w:val="20"/>
          <w:color w:val="auto"/>
        </w:rPr>
      </w:pPr>
      <w:r>
        <w:rPr>
          <w:rFonts w:ascii="Times New Roman" w:cs="Times New Roman" w:eastAsia="Times New Roman" w:hAnsi="Times New Roman"/>
          <w:sz w:val="18"/>
          <w:szCs w:val="18"/>
          <w:color w:val="auto"/>
        </w:rPr>
        <w:t>ae.</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Participating Company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at any point in time, all corporations or other entities collectively which are then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Participating Companies.</w:t>
      </w:r>
    </w:p>
    <w:p>
      <w:pPr>
        <w:spacing w:after="0" w:line="47" w:lineRule="exact"/>
        <w:rPr>
          <w:sz w:val="20"/>
          <w:szCs w:val="20"/>
          <w:color w:val="auto"/>
        </w:rPr>
      </w:pPr>
    </w:p>
    <w:p>
      <w:pPr>
        <w:ind w:left="820" w:hanging="647"/>
        <w:spacing w:after="0" w:line="262" w:lineRule="auto"/>
        <w:tabs>
          <w:tab w:leader="none" w:pos="800" w:val="left"/>
        </w:tabs>
        <w:rPr>
          <w:sz w:val="20"/>
          <w:szCs w:val="20"/>
          <w:color w:val="auto"/>
        </w:rPr>
      </w:pPr>
      <w:r>
        <w:rPr>
          <w:rFonts w:ascii="Times New Roman" w:cs="Times New Roman" w:eastAsia="Times New Roman" w:hAnsi="Times New Roman"/>
          <w:sz w:val="18"/>
          <w:szCs w:val="18"/>
          <w:color w:val="auto"/>
        </w:rPr>
        <w:t>af.</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Performance-Based Exception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performance-based exception from the tax deductibility limitation imposed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Section 162(m) of the Code, as set forth in Prior Section 162(m)(4)(C) of the Code. Notwithstanding any other provision in the Plan, the Plan is not intended to modify in any material respect any outstanding Performance-Based Award intended to qualify for the Performance-Based Exception.</w:t>
      </w:r>
    </w:p>
    <w:p>
      <w:pPr>
        <w:spacing w:after="0" w:line="68" w:lineRule="exact"/>
        <w:rPr>
          <w:sz w:val="20"/>
          <w:szCs w:val="20"/>
          <w:color w:val="auto"/>
        </w:rPr>
      </w:pPr>
    </w:p>
    <w:p>
      <w:pPr>
        <w:ind w:left="840" w:right="160" w:hanging="659"/>
        <w:spacing w:after="0" w:line="286" w:lineRule="auto"/>
        <w:tabs>
          <w:tab w:leader="none" w:pos="820" w:val="left"/>
        </w:tabs>
        <w:rPr>
          <w:sz w:val="20"/>
          <w:szCs w:val="20"/>
          <w:color w:val="auto"/>
        </w:rPr>
      </w:pPr>
      <w:r>
        <w:rPr>
          <w:rFonts w:ascii="Times New Roman" w:cs="Times New Roman" w:eastAsia="Times New Roman" w:hAnsi="Times New Roman"/>
          <w:sz w:val="18"/>
          <w:szCs w:val="18"/>
          <w:color w:val="auto"/>
        </w:rPr>
        <w:t>ag.</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Cycle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each calendar year, unless otherwise designated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Committee.</w:t>
      </w:r>
    </w:p>
    <w:p>
      <w:pPr>
        <w:spacing w:after="0" w:line="47" w:lineRule="exact"/>
        <w:rPr>
          <w:sz w:val="20"/>
          <w:szCs w:val="20"/>
          <w:color w:val="auto"/>
        </w:rPr>
      </w:pPr>
    </w:p>
    <w:p>
      <w:pPr>
        <w:ind w:left="840" w:right="180" w:hanging="659"/>
        <w:spacing w:after="0" w:line="268" w:lineRule="auto"/>
        <w:tabs>
          <w:tab w:leader="none" w:pos="820" w:val="left"/>
        </w:tabs>
        <w:rPr>
          <w:sz w:val="20"/>
          <w:szCs w:val="20"/>
          <w:color w:val="auto"/>
        </w:rPr>
      </w:pPr>
      <w:r>
        <w:rPr>
          <w:rFonts w:ascii="Times New Roman" w:cs="Times New Roman" w:eastAsia="Times New Roman" w:hAnsi="Times New Roman"/>
          <w:sz w:val="18"/>
          <w:szCs w:val="18"/>
          <w:color w:val="auto"/>
        </w:rPr>
        <w:t>ah.</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with respect to any Annual Incentive Award or Performance-Based Award, one or more targets,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goals or levels of attainment required to be achieved in terms of the specified Performance Measure(s) during a fiscal year or specified performance period.</w:t>
      </w:r>
    </w:p>
    <w:p>
      <w:pPr>
        <w:spacing w:after="0" w:line="63"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ai.</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12.</w:t>
      </w:r>
    </w:p>
    <w:p>
      <w:pPr>
        <w:spacing w:after="0" w:line="117"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aj.</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Performance-Based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12.</w:t>
      </w:r>
    </w:p>
    <w:p>
      <w:pPr>
        <w:spacing w:after="0" w:line="117" w:lineRule="exact"/>
        <w:rPr>
          <w:sz w:val="20"/>
          <w:szCs w:val="20"/>
          <w:color w:val="auto"/>
        </w:rPr>
      </w:pPr>
    </w:p>
    <w:p>
      <w:pPr>
        <w:ind w:left="840" w:right="460" w:hanging="659"/>
        <w:spacing w:after="0" w:line="278" w:lineRule="auto"/>
        <w:tabs>
          <w:tab w:leader="none" w:pos="820" w:val="left"/>
        </w:tabs>
        <w:rPr>
          <w:sz w:val="20"/>
          <w:szCs w:val="20"/>
          <w:color w:val="auto"/>
        </w:rPr>
      </w:pPr>
      <w:r>
        <w:rPr>
          <w:rFonts w:ascii="Times New Roman" w:cs="Times New Roman" w:eastAsia="Times New Roman" w:hAnsi="Times New Roman"/>
          <w:sz w:val="17"/>
          <w:szCs w:val="17"/>
          <w:color w:val="auto"/>
        </w:rPr>
        <w:t>ak.</w:t>
      </w:r>
      <w:r>
        <w:rPr>
          <w:sz w:val="20"/>
          <w:szCs w:val="20"/>
          <w:color w:val="auto"/>
        </w:rPr>
        <w:tab/>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b w:val="1"/>
          <w:bCs w:val="1"/>
          <w:i w:val="1"/>
          <w:iCs w:val="1"/>
          <w:color w:val="auto"/>
        </w:rPr>
        <w:t>Permitted Transferees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a member of a Participant’s immediate family, trusts for the exclusive benefit of such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Participant and/or such Participant’s immediate family members, and partnerships or other entities in which the Participant and/or such immediate family members are the only partners, provided that no consideration is provided for the transfer. Immediate family members shall include a Participant’s spouse, descendants (children, grandchildren and more remote descendants), spouses of descendants, and shall include step-children and relationships arising from legal adoption.</w:t>
      </w:r>
    </w:p>
    <w:p>
      <w:pPr>
        <w:spacing w:after="0" w:line="56"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al.</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1.1.</w:t>
      </w:r>
    </w:p>
    <w:p>
      <w:pPr>
        <w:spacing w:after="0" w:line="117" w:lineRule="exact"/>
        <w:rPr>
          <w:sz w:val="20"/>
          <w:szCs w:val="20"/>
          <w:color w:val="auto"/>
        </w:rPr>
      </w:pPr>
    </w:p>
    <w:p>
      <w:pPr>
        <w:jc w:val="both"/>
        <w:ind w:left="820" w:right="120" w:hanging="647"/>
        <w:spacing w:after="0" w:line="268" w:lineRule="auto"/>
        <w:tabs>
          <w:tab w:leader="none" w:pos="800" w:val="left"/>
        </w:tabs>
        <w:rPr>
          <w:sz w:val="20"/>
          <w:szCs w:val="20"/>
          <w:color w:val="auto"/>
        </w:rPr>
      </w:pPr>
      <w:r>
        <w:rPr>
          <w:rFonts w:ascii="Times New Roman" w:cs="Times New Roman" w:eastAsia="Times New Roman" w:hAnsi="Times New Roman"/>
          <w:sz w:val="18"/>
          <w:szCs w:val="18"/>
          <w:color w:val="auto"/>
        </w:rPr>
        <w:t>am.</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Section 162(m) of the Code</w:t>
      </w:r>
      <w:r>
        <w:rPr>
          <w:rFonts w:ascii="Times New Roman" w:cs="Times New Roman" w:eastAsia="Times New Roman" w:hAnsi="Times New Roman"/>
          <w:sz w:val="18"/>
          <w:szCs w:val="18"/>
          <w:color w:val="auto"/>
        </w:rPr>
        <w:t>” means Section 162(m) of the Code as in effect immediately prior to the amendments made to Section 162(m) of the Code by Section 13601 of the Tax Cuts and Jobs Act of 2017, and the regulations and other guidance promulgated thereunder.</w:t>
      </w:r>
    </w:p>
    <w:p>
      <w:pPr>
        <w:spacing w:after="0" w:line="63"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an.</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the meaning given to it in Section 9.1.</w:t>
      </w:r>
    </w:p>
    <w:p>
      <w:pPr>
        <w:spacing w:after="0" w:line="117" w:lineRule="exact"/>
        <w:rPr>
          <w:sz w:val="20"/>
          <w:szCs w:val="20"/>
          <w:color w:val="auto"/>
        </w:rPr>
      </w:pPr>
    </w:p>
    <w:p>
      <w:pPr>
        <w:ind w:left="180"/>
        <w:spacing w:after="0"/>
        <w:tabs>
          <w:tab w:leader="none" w:pos="820" w:val="left"/>
        </w:tabs>
        <w:rPr>
          <w:sz w:val="20"/>
          <w:szCs w:val="20"/>
          <w:color w:val="auto"/>
        </w:rPr>
      </w:pPr>
      <w:r>
        <w:rPr>
          <w:rFonts w:ascii="Times New Roman" w:cs="Times New Roman" w:eastAsia="Times New Roman" w:hAnsi="Times New Roman"/>
          <w:sz w:val="18"/>
          <w:szCs w:val="18"/>
          <w:color w:val="auto"/>
        </w:rPr>
        <w:t>ao.</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of Stock made under Section 9, which is subject to vesting provisions.</w:t>
      </w:r>
    </w:p>
    <w:p>
      <w:pPr>
        <w:spacing w:after="0" w:line="1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120"/>
          </w:cols>
          <w:pgMar w:left="1440" w:top="549" w:right="339" w:bottom="1440" w:gutter="0" w:footer="0" w:header="0"/>
        </w:sectPr>
      </w:pPr>
    </w:p>
    <w:bookmarkStart w:id="47" w:name="page48"/>
    <w:bookmarkEnd w:id="47"/>
    <w:p>
      <w:pPr>
        <w:ind w:left="1952" w:right="620" w:hanging="659"/>
        <w:spacing w:after="0" w:line="286" w:lineRule="auto"/>
        <w:tabs>
          <w:tab w:leader="none" w:pos="1932" w:val="left"/>
        </w:tabs>
        <w:rPr>
          <w:sz w:val="20"/>
          <w:szCs w:val="20"/>
          <w:color w:val="auto"/>
        </w:rPr>
      </w:pPr>
      <w:r>
        <w:rPr>
          <w:rFonts w:ascii="Times New Roman" w:cs="Times New Roman" w:eastAsia="Times New Roman" w:hAnsi="Times New Roman"/>
          <w:sz w:val="18"/>
          <w:szCs w:val="18"/>
          <w:color w:val="auto"/>
        </w:rPr>
        <w:t>ap.</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an Award granted pursuant to Section 10 and shall be evidenced by a bookkeeping entry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the equivalent of one share of Stock.</w:t>
      </w:r>
    </w:p>
    <w:p>
      <w:pPr>
        <w:spacing w:after="0" w:line="47" w:lineRule="exact"/>
        <w:rPr>
          <w:sz w:val="20"/>
          <w:szCs w:val="20"/>
          <w:color w:val="auto"/>
        </w:rPr>
      </w:pPr>
    </w:p>
    <w:p>
      <w:pPr>
        <w:ind w:left="1292"/>
        <w:spacing w:after="0"/>
        <w:tabs>
          <w:tab w:leader="none" w:pos="1932" w:val="left"/>
        </w:tabs>
        <w:rPr>
          <w:sz w:val="20"/>
          <w:szCs w:val="20"/>
          <w:color w:val="auto"/>
        </w:rPr>
      </w:pPr>
      <w:r>
        <w:rPr>
          <w:rFonts w:ascii="Times New Roman" w:cs="Times New Roman" w:eastAsia="Times New Roman" w:hAnsi="Times New Roman"/>
          <w:sz w:val="18"/>
          <w:szCs w:val="18"/>
          <w:color w:val="auto"/>
        </w:rPr>
        <w:t>aq.</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Rule 16b</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Rule 16b-3 under the Exchange Act, as amended from time to time, or any successor rule or regulation.</w:t>
      </w:r>
    </w:p>
    <w:p>
      <w:pPr>
        <w:spacing w:after="0" w:line="117" w:lineRule="exact"/>
        <w:rPr>
          <w:sz w:val="20"/>
          <w:szCs w:val="20"/>
          <w:color w:val="auto"/>
        </w:rPr>
      </w:pPr>
    </w:p>
    <w:p>
      <w:pPr>
        <w:ind w:left="1292"/>
        <w:spacing w:after="0"/>
        <w:tabs>
          <w:tab w:leader="none" w:pos="1912" w:val="left"/>
        </w:tabs>
        <w:rPr>
          <w:sz w:val="20"/>
          <w:szCs w:val="20"/>
          <w:color w:val="auto"/>
        </w:rPr>
      </w:pPr>
      <w:r>
        <w:rPr>
          <w:rFonts w:ascii="Times New Roman" w:cs="Times New Roman" w:eastAsia="Times New Roman" w:hAnsi="Times New Roman"/>
          <w:sz w:val="18"/>
          <w:szCs w:val="18"/>
          <w:color w:val="auto"/>
        </w:rPr>
        <w:t>ar.</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Securities Act of 1933, as amended.</w:t>
      </w:r>
    </w:p>
    <w:p>
      <w:pPr>
        <w:spacing w:after="0" w:line="117" w:lineRule="exact"/>
        <w:rPr>
          <w:sz w:val="20"/>
          <w:szCs w:val="20"/>
          <w:color w:val="auto"/>
        </w:rPr>
      </w:pPr>
    </w:p>
    <w:p>
      <w:pPr>
        <w:ind w:left="1932" w:hanging="647"/>
        <w:spacing w:after="0" w:line="253" w:lineRule="auto"/>
        <w:tabs>
          <w:tab w:leader="none" w:pos="1912" w:val="left"/>
        </w:tabs>
        <w:rPr>
          <w:sz w:val="20"/>
          <w:szCs w:val="20"/>
          <w:color w:val="auto"/>
        </w:rPr>
      </w:pPr>
      <w:r>
        <w:rPr>
          <w:rFonts w:ascii="Times New Roman" w:cs="Times New Roman" w:eastAsia="Times New Roman" w:hAnsi="Times New Roman"/>
          <w:sz w:val="18"/>
          <w:szCs w:val="18"/>
          <w:color w:val="auto"/>
        </w:rPr>
        <w:t>as.</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Participant’s employment or service with the Participating Company Group, whether in the capacity of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a Director or a Consultant. A Participant’s Service shall not be deemed to have terminated merely because of a change in the capacity in which the Participant renders Service to the Participating Company Group or a change in the Participating Company for which the Participant renders such Service, provided that there is no interruption or termination of the Participant’s Service. Furthermore, a Participant’s Service with the Participating Company Group shall not be deemed to have terminated if the Participant takes any military leave, sick leave, or other bona fide leave of absence approved by the Company; provided, however, that if any such leave exceeds ninety (90) days, on the ninety-first (91st) day of such leave the Participant’s Service shall be deemed to have terminated unless the Participant’s right to return to Service with the Participating Company Group is guaranteed by statute or contract. Notwithstanding the foregoing, unless otherwise designated by the Company or required by law, a leave of absence shall not be treated as Service for purposes of determining vesting under any Option Agreement. The Participant’s Service shall be deemed to have terminated either upon an actual termination of Service or upon the corporation for which the Participant performs Service ceasing to be a Participating Company. Subject to the foregoing, the Company, in its discretion, shall determine whether the Participant’s Service has terminated and the effective date of such termination.</w:t>
      </w:r>
    </w:p>
    <w:p>
      <w:pPr>
        <w:spacing w:after="0" w:line="77" w:lineRule="exact"/>
        <w:rPr>
          <w:sz w:val="20"/>
          <w:szCs w:val="20"/>
          <w:color w:val="auto"/>
        </w:rPr>
      </w:pPr>
    </w:p>
    <w:p>
      <w:pPr>
        <w:ind w:left="1952" w:right="40" w:hanging="659"/>
        <w:spacing w:after="0" w:line="268" w:lineRule="auto"/>
        <w:tabs>
          <w:tab w:leader="none" w:pos="1932" w:val="left"/>
        </w:tabs>
        <w:rPr>
          <w:sz w:val="20"/>
          <w:szCs w:val="20"/>
          <w:color w:val="auto"/>
        </w:rPr>
      </w:pPr>
      <w:r>
        <w:rPr>
          <w:rFonts w:ascii="Times New Roman" w:cs="Times New Roman" w:eastAsia="Times New Roman" w:hAnsi="Times New Roman"/>
          <w:sz w:val="18"/>
          <w:szCs w:val="18"/>
          <w:color w:val="auto"/>
        </w:rPr>
        <w:t>at.</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i w:val="1"/>
          <w:iCs w:val="1"/>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right granted pursuant to Section 7 to receive a payment equal to the excess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Fair Market Value of a specified number of shares of Stock on the date the SAR is exercised over the grant price of the SAR, as set forth in the applicable Award Agreement.</w:t>
      </w:r>
    </w:p>
    <w:p>
      <w:pPr>
        <w:spacing w:after="0" w:line="63" w:lineRule="exact"/>
        <w:rPr>
          <w:sz w:val="20"/>
          <w:szCs w:val="20"/>
          <w:color w:val="auto"/>
        </w:rPr>
      </w:pPr>
    </w:p>
    <w:p>
      <w:pPr>
        <w:ind w:left="1292"/>
        <w:spacing w:after="0"/>
        <w:tabs>
          <w:tab w:leader="none" w:pos="1932" w:val="left"/>
        </w:tabs>
        <w:rPr>
          <w:sz w:val="20"/>
          <w:szCs w:val="20"/>
          <w:color w:val="auto"/>
        </w:rPr>
      </w:pPr>
      <w:r>
        <w:rPr>
          <w:rFonts w:ascii="Times New Roman" w:cs="Times New Roman" w:eastAsia="Times New Roman" w:hAnsi="Times New Roman"/>
          <w:sz w:val="18"/>
          <w:szCs w:val="18"/>
          <w:color w:val="auto"/>
        </w:rPr>
        <w:t>au.</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the common stock of the Company, as adjusted from time to time in accordance with Section 4.3.</w:t>
      </w:r>
    </w:p>
    <w:p>
      <w:pPr>
        <w:spacing w:after="0" w:line="117" w:lineRule="exact"/>
        <w:rPr>
          <w:sz w:val="20"/>
          <w:szCs w:val="20"/>
          <w:color w:val="auto"/>
        </w:rPr>
      </w:pPr>
    </w:p>
    <w:p>
      <w:pPr>
        <w:ind w:left="1932" w:right="20" w:hanging="647"/>
        <w:spacing w:after="0" w:line="257" w:lineRule="auto"/>
        <w:tabs>
          <w:tab w:leader="none" w:pos="1912" w:val="left"/>
        </w:tabs>
        <w:rPr>
          <w:sz w:val="20"/>
          <w:szCs w:val="20"/>
          <w:color w:val="auto"/>
        </w:rPr>
      </w:pPr>
      <w:r>
        <w:rPr>
          <w:rFonts w:ascii="Times New Roman" w:cs="Times New Roman" w:eastAsia="Times New Roman" w:hAnsi="Times New Roman"/>
          <w:sz w:val="18"/>
          <w:szCs w:val="18"/>
          <w:color w:val="auto"/>
        </w:rPr>
        <w:t>av.</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(i) any “subsidiary corporation” of the Company, as defined in Section 424(f) of the Code and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successor provisions, (ii) any other entity that is taxed as a corporation under Section 7701(a)(3) of the Code and is a member of the “affiliated group” as defined in Section 1504(a) of the Code of which the Company is a common parent corporation, and (iii) any other entity as may be permitted from time to time by the Code or the Internal Revenue Service to be an employer of employees to whom Options may be granted; provided, however, that in each case the subsidiary corporation must be consolidated in the Company’s financial statements.</w:t>
      </w:r>
    </w:p>
    <w:p>
      <w:pPr>
        <w:spacing w:after="0" w:line="74" w:lineRule="exact"/>
        <w:rPr>
          <w:sz w:val="20"/>
          <w:szCs w:val="20"/>
          <w:color w:val="auto"/>
        </w:rPr>
      </w:pPr>
    </w:p>
    <w:p>
      <w:pPr>
        <w:ind w:left="1932" w:right="220" w:hanging="647"/>
        <w:spacing w:after="0" w:line="268" w:lineRule="auto"/>
        <w:tabs>
          <w:tab w:leader="none" w:pos="1912" w:val="left"/>
        </w:tabs>
        <w:rPr>
          <w:sz w:val="20"/>
          <w:szCs w:val="20"/>
          <w:color w:val="auto"/>
        </w:rPr>
      </w:pPr>
      <w:r>
        <w:rPr>
          <w:rFonts w:ascii="Times New Roman" w:cs="Times New Roman" w:eastAsia="Times New Roman" w:hAnsi="Times New Roman"/>
          <w:sz w:val="18"/>
          <w:szCs w:val="18"/>
          <w:color w:val="auto"/>
        </w:rPr>
        <w:t>aw.</w:t>
      </w:r>
      <w:r>
        <w:rPr>
          <w:sz w:val="20"/>
          <w:szCs w:val="20"/>
          <w:color w:val="auto"/>
        </w:rPr>
        <w:tab/>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Ten Percent Owner Participant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Participant who, at the time an Option is granted to the Participant, owns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possessing more than ten percent (10%) of the total combined voting power of all classes of stock of a Participating Company within the meaning of Section 422(b)(6) of the Code.</w:t>
      </w:r>
    </w:p>
    <w:p>
      <w:pPr>
        <w:spacing w:after="0" w:line="63" w:lineRule="exact"/>
        <w:rPr>
          <w:sz w:val="20"/>
          <w:szCs w:val="20"/>
          <w:color w:val="auto"/>
        </w:rPr>
      </w:pPr>
    </w:p>
    <w:p>
      <w:pPr>
        <w:ind w:left="1292" w:right="20" w:hanging="644"/>
        <w:spacing w:after="0" w:line="268" w:lineRule="auto"/>
        <w:tabs>
          <w:tab w:leader="none" w:pos="95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Construction. </w:t>
      </w:r>
      <w:r>
        <w:rPr>
          <w:rFonts w:ascii="Times New Roman" w:cs="Times New Roman" w:eastAsia="Times New Roman" w:hAnsi="Times New Roman"/>
          <w:sz w:val="18"/>
          <w:szCs w:val="18"/>
          <w:color w:val="auto"/>
        </w:rPr>
        <w:t>Captions and titles contained herein are for convenience only and shall not affect the meaning or interpretation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62"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right="20" w:hanging="644"/>
        <w:spacing w:after="0" w:line="268" w:lineRule="auto"/>
        <w:tabs>
          <w:tab w:leader="none" w:pos="129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Unless the Board determines otherwise, the Plan shall be administered by the Committee. All questions of interpretation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or of any Award shall be determined by the Committee, and such determinations shall be final and binding upon all persons having an interest in the Plan.</w:t>
      </w:r>
    </w:p>
    <w:p>
      <w:pPr>
        <w:spacing w:after="0" w:line="62" w:lineRule="exact"/>
        <w:rPr>
          <w:rFonts w:ascii="Times New Roman" w:cs="Times New Roman" w:eastAsia="Times New Roman" w:hAnsi="Times New Roman"/>
          <w:sz w:val="18"/>
          <w:szCs w:val="18"/>
          <w:color w:val="auto"/>
        </w:rPr>
      </w:pPr>
    </w:p>
    <w:p>
      <w:pPr>
        <w:ind w:left="1292" w:right="180" w:hanging="644"/>
        <w:spacing w:after="0" w:line="268" w:lineRule="auto"/>
        <w:tabs>
          <w:tab w:leader="none" w:pos="129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of Officers. </w:t>
      </w:r>
      <w:r>
        <w:rPr>
          <w:rFonts w:ascii="Times New Roman" w:cs="Times New Roman" w:eastAsia="Times New Roman" w:hAnsi="Times New Roman"/>
          <w:sz w:val="18"/>
          <w:szCs w:val="18"/>
          <w:color w:val="auto"/>
        </w:rPr>
        <w:t>Any officer of a Participating Company shall have the authority to act on behalf of the Company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matter, right, obligation, determination or election which is the responsibility of, or which is allocated, to the Company herein, provided the officer has apparent authority with respect to such matter, right, obligation, determination or election.</w:t>
      </w:r>
    </w:p>
    <w:p>
      <w:pPr>
        <w:spacing w:after="0" w:line="62" w:lineRule="exact"/>
        <w:rPr>
          <w:rFonts w:ascii="Times New Roman" w:cs="Times New Roman" w:eastAsia="Times New Roman" w:hAnsi="Times New Roman"/>
          <w:sz w:val="18"/>
          <w:szCs w:val="18"/>
          <w:color w:val="auto"/>
        </w:rPr>
      </w:pPr>
    </w:p>
    <w:p>
      <w:pPr>
        <w:ind w:left="1292" w:right="160" w:hanging="644"/>
        <w:spacing w:after="0" w:line="286" w:lineRule="auto"/>
        <w:tabs>
          <w:tab w:leader="none" w:pos="1292"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Powers. </w:t>
      </w:r>
      <w:r>
        <w:rPr>
          <w:rFonts w:ascii="Times New Roman" w:cs="Times New Roman" w:eastAsia="Times New Roman" w:hAnsi="Times New Roman"/>
          <w:sz w:val="18"/>
          <w:szCs w:val="18"/>
          <w:color w:val="auto"/>
        </w:rPr>
        <w:t>In addition to any other powers set forth in the Plan and subject to the provisions of the Plan, the Committee shall have the full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final power and authority, in its discretion:</w:t>
      </w:r>
    </w:p>
    <w:p>
      <w:pPr>
        <w:spacing w:after="0" w:line="50" w:lineRule="exact"/>
        <w:rPr>
          <w:rFonts w:ascii="Times New Roman" w:cs="Times New Roman" w:eastAsia="Times New Roman" w:hAnsi="Times New Roman"/>
          <w:sz w:val="18"/>
          <w:szCs w:val="18"/>
          <w:color w:val="auto"/>
        </w:rPr>
      </w:pPr>
    </w:p>
    <w:p>
      <w:pPr>
        <w:ind w:left="1952" w:right="380" w:hanging="656"/>
        <w:spacing w:after="0" w:line="282" w:lineRule="auto"/>
        <w:tabs>
          <w:tab w:leader="none" w:pos="194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persons to whom, and the time or times at which, Awards shall be granted and, if applicable, the number of shares of Stock to be subject thereto;</w:t>
      </w:r>
    </w:p>
    <w:p>
      <w:pPr>
        <w:spacing w:after="0" w:line="53" w:lineRule="exact"/>
        <w:rPr>
          <w:rFonts w:ascii="Times New Roman" w:cs="Times New Roman" w:eastAsia="Times New Roman" w:hAnsi="Times New Roman"/>
          <w:sz w:val="18"/>
          <w:szCs w:val="18"/>
          <w:color w:val="auto"/>
        </w:rPr>
      </w:pPr>
    </w:p>
    <w:p>
      <w:pPr>
        <w:ind w:left="1952" w:hanging="656"/>
        <w:spacing w:after="0"/>
        <w:tabs>
          <w:tab w:leader="none" w:pos="1952" w:val="left"/>
        </w:tabs>
        <w:numPr>
          <w:ilvl w:val="2"/>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Options as Incentive Stock Options or Nonstatutory Stock Options;</w:t>
      </w:r>
    </w:p>
    <w:p>
      <w:pPr>
        <w:spacing w:after="0" w:line="11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32"/>
          </w:cols>
          <w:pgMar w:left="328" w:top="549" w:right="339" w:bottom="1440" w:gutter="0" w:footer="0" w:header="0"/>
        </w:sectPr>
      </w:pPr>
    </w:p>
    <w:bookmarkStart w:id="48" w:name="page49"/>
    <w:bookmarkEnd w:id="48"/>
    <w:p>
      <w:pPr>
        <w:ind w:left="1284" w:hanging="636"/>
        <w:spacing w:after="0"/>
        <w:tabs>
          <w:tab w:leader="none" w:pos="12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 of shares of Stock or other property;</w:t>
      </w:r>
    </w:p>
    <w:p>
      <w:pPr>
        <w:spacing w:after="0" w:line="117" w:lineRule="exact"/>
        <w:rPr>
          <w:rFonts w:ascii="Times New Roman" w:cs="Times New Roman" w:eastAsia="Times New Roman" w:hAnsi="Times New Roman"/>
          <w:sz w:val="18"/>
          <w:szCs w:val="18"/>
          <w:color w:val="auto"/>
        </w:rPr>
      </w:pPr>
    </w:p>
    <w:p>
      <w:pPr>
        <w:ind w:left="1304" w:hanging="656"/>
        <w:spacing w:after="0" w:line="254" w:lineRule="auto"/>
        <w:tabs>
          <w:tab w:leader="none" w:pos="130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conditions and restrictions applicable to each Award (which need not be identical) and, if applicable, any shares acquired upon the exercise thereof, including, without limitation, (i) the exercise price of an Option, (ii) the grant price of an SAR, (iii) the method of payment for shares purchased upon the exercise of the Option, (iv) the method for satisfaction of any tax withholding obligation arising in connection with the Award or such shares of Stock issued or cash provided thereunder, including by the withholding or delivery of shares of Stock or cash, (v) the timing, terms and conditions of the exercisability of the Award or the vesting of any shares acquired upon the exercise thereof, (vi) the time of the expiration of the Award, (vi) the effect of the Participant’s termination of Service with the Participating Company Group on any of the foregoing, and (vii) all other terms, conditions and restrictions applicable to the Award not inconsistent with the terms of the Plan;</w:t>
      </w:r>
    </w:p>
    <w:p>
      <w:pPr>
        <w:spacing w:after="0" w:line="83"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one or more forms of Award Agreement or Option Agreement;</w:t>
      </w:r>
    </w:p>
    <w:p>
      <w:pPr>
        <w:spacing w:after="0" w:line="117" w:lineRule="exact"/>
        <w:rPr>
          <w:rFonts w:ascii="Times New Roman" w:cs="Times New Roman" w:eastAsia="Times New Roman" w:hAnsi="Times New Roman"/>
          <w:sz w:val="18"/>
          <w:szCs w:val="18"/>
          <w:color w:val="auto"/>
        </w:rPr>
      </w:pPr>
    </w:p>
    <w:p>
      <w:pPr>
        <w:ind w:left="1304" w:right="40" w:hanging="656"/>
        <w:spacing w:after="0" w:line="253" w:lineRule="auto"/>
        <w:tabs>
          <w:tab w:leader="none" w:pos="130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amend, modify, extend, cancel or renew any Award, or to waive any restrictions or conditions applicable to any Award or any shares of Stock acquired upon the exercise thereof,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notwithstanding anything in this Plan to the contrary: (i) the Committee shall not have discretion to accelerate vesting of an outstanding Award other than in connection with the Participant’s death or Disability, or in connection with the consummation of a Change in Control; and (ii) other than with respect to an adjustment described in Section 4.3, the Committee shall not, without stockholder approval, (A) lower the exercise price of an existing Option, (B) lower the grant price of an existing SAR, (C) cancel an existing Option (or SAR) in exchange for the grant of any new Option (or SAR) with a lower exercise price or grant price than the cancelled or exchanged Option (or SAR), (D) cancel an existing Option (or SAR) in exchange for cash, other property or the grant of any new Award at a time when the exercise price of the existing Option (or the grant price of the existing SAR) is greater than the current Fair Market Value of a share of Stock, or (E) take any other action with respect to an Option or SAR that would be treated as a “repricing” under generally accepted accounting principles;</w:t>
      </w:r>
    </w:p>
    <w:p>
      <w:pPr>
        <w:spacing w:after="0" w:line="83" w:lineRule="exact"/>
        <w:rPr>
          <w:rFonts w:ascii="Times New Roman" w:cs="Times New Roman" w:eastAsia="Times New Roman" w:hAnsi="Times New Roman"/>
          <w:sz w:val="18"/>
          <w:szCs w:val="18"/>
          <w:color w:val="auto"/>
        </w:rPr>
      </w:pPr>
    </w:p>
    <w:p>
      <w:pPr>
        <w:jc w:val="both"/>
        <w:ind w:left="1304" w:right="380" w:hanging="656"/>
        <w:spacing w:after="0" w:line="312" w:lineRule="auto"/>
        <w:tabs>
          <w:tab w:leader="none" w:pos="1304"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continue, extend or defer the exercisability of any Award or the vesting of any shares acquired upon the exercise thereof, including with respect to the period following a Participant’s termination of Service with the Participating Company Group;</w:t>
      </w:r>
    </w:p>
    <w:p>
      <w:pPr>
        <w:spacing w:after="0" w:line="31" w:lineRule="exact"/>
        <w:rPr>
          <w:rFonts w:ascii="Times New Roman" w:cs="Times New Roman" w:eastAsia="Times New Roman" w:hAnsi="Times New Roman"/>
          <w:sz w:val="17"/>
          <w:szCs w:val="17"/>
          <w:color w:val="auto"/>
        </w:rPr>
      </w:pPr>
    </w:p>
    <w:p>
      <w:pPr>
        <w:ind w:left="1304" w:right="160" w:hanging="656"/>
        <w:spacing w:after="0" w:line="266" w:lineRule="auto"/>
        <w:tabs>
          <w:tab w:leader="none" w:pos="130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or rescind rules, guidelines and policies relating to the Plan, or to adopt supplements to, or alternative versions of, the Plan, including, without limitation, as the Committee deems necessary or desirable to comply with the laws of, or to accommodate the tax policy or custom of, foreign jurisdictions whose citizens may be granted Awards;</w:t>
      </w:r>
    </w:p>
    <w:p>
      <w:pPr>
        <w:spacing w:after="0" w:line="67" w:lineRule="exact"/>
        <w:rPr>
          <w:rFonts w:ascii="Times New Roman" w:cs="Times New Roman" w:eastAsia="Times New Roman" w:hAnsi="Times New Roman"/>
          <w:sz w:val="18"/>
          <w:szCs w:val="18"/>
          <w:color w:val="auto"/>
        </w:rPr>
      </w:pPr>
    </w:p>
    <w:p>
      <w:pPr>
        <w:ind w:left="1304" w:right="600" w:hanging="656"/>
        <w:spacing w:after="0" w:line="266" w:lineRule="auto"/>
        <w:tabs>
          <w:tab w:leader="none" w:pos="12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correct any defect, supply any omission or reconcile any inconsistency in the Plan, any Award Agreement or Option Agreement and to make all other determinations and take such other actions with respect to the Plan or any Award as the Committee may deem advisable to the extent not inconsistent with the provisions of the Plan or applicable law; and</w:t>
      </w:r>
    </w:p>
    <w:p>
      <w:pPr>
        <w:spacing w:after="0" w:line="67" w:lineRule="exact"/>
        <w:rPr>
          <w:rFonts w:ascii="Times New Roman" w:cs="Times New Roman" w:eastAsia="Times New Roman" w:hAnsi="Times New Roman"/>
          <w:sz w:val="18"/>
          <w:szCs w:val="18"/>
          <w:color w:val="auto"/>
        </w:rPr>
      </w:pPr>
    </w:p>
    <w:p>
      <w:pPr>
        <w:ind w:left="1304" w:right="400" w:hanging="656"/>
        <w:spacing w:after="0" w:line="266" w:lineRule="auto"/>
        <w:tabs>
          <w:tab w:leader="none" w:pos="129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upon an Employee’s termination of Service on account of a Disability, the circumstances of such Disability and whether the Employee’s Award should be amended to provide that it is fully vested, if the Committee in its sole discretion considers such action in the best interest of the Company and the Employee.</w:t>
      </w:r>
    </w:p>
    <w:p>
      <w:pPr>
        <w:spacing w:after="0" w:line="63" w:lineRule="exact"/>
        <w:rPr>
          <w:rFonts w:ascii="Times New Roman" w:cs="Times New Roman" w:eastAsia="Times New Roman" w:hAnsi="Times New Roman"/>
          <w:sz w:val="18"/>
          <w:szCs w:val="18"/>
          <w:color w:val="auto"/>
        </w:rPr>
      </w:pPr>
    </w:p>
    <w:p>
      <w:pPr>
        <w:ind w:left="644" w:hanging="644"/>
        <w:spacing w:after="0" w:line="268" w:lineRule="auto"/>
        <w:tabs>
          <w:tab w:leader="none" w:pos="3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Administration with Respect to Insiders. </w:t>
      </w:r>
      <w:r>
        <w:rPr>
          <w:rFonts w:ascii="Times New Roman" w:cs="Times New Roman" w:eastAsia="Times New Roman" w:hAnsi="Times New Roman"/>
          <w:sz w:val="18"/>
          <w:szCs w:val="18"/>
          <w:color w:val="auto"/>
        </w:rPr>
        <w:t>With respect to participation by Insiders in the Plan, at any time that any class of equity security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registered pursuant to Section 12 of the Exchange Act, the Plan shall be administered in compliance with the requirements, if any, of Rule 16b-3.</w:t>
      </w:r>
    </w:p>
    <w:p>
      <w:pPr>
        <w:spacing w:after="0" w:line="62" w:lineRule="exact"/>
        <w:rPr>
          <w:rFonts w:ascii="Times New Roman" w:cs="Times New Roman" w:eastAsia="Times New Roman" w:hAnsi="Times New Roman"/>
          <w:sz w:val="18"/>
          <w:szCs w:val="18"/>
          <w:color w:val="auto"/>
        </w:rPr>
      </w:pPr>
    </w:p>
    <w:p>
      <w:pPr>
        <w:ind w:left="644" w:right="20" w:hanging="644"/>
        <w:spacing w:after="0" w:line="254" w:lineRule="auto"/>
        <w:tabs>
          <w:tab w:leader="none" w:pos="31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w:t>
      </w:r>
      <w:r>
        <w:rPr>
          <w:rFonts w:ascii="Times New Roman" w:cs="Times New Roman" w:eastAsia="Times New Roman" w:hAnsi="Times New Roman"/>
          <w:sz w:val="18"/>
          <w:szCs w:val="18"/>
          <w:color w:val="auto"/>
        </w:rPr>
        <w:t>In addition to such other rights of indemnification as they may have as members of the Committee or Board or officers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of the Participating Company Group, members of the Committee or Board and any officers or employees of the Participating Company Group to whom authority to act for the Committee or Board or the Company is delegated shall be indemnified by the Company against all reasonable expenses, including attorneys’ fees, actually and necessarily incurred in connection with the defense of any action, suit or proceeding, or in connection with any appeal therein, to which they or any of them may be a party by reason of any action taken or failure to act under or in connection with the Plan, or any right granted hereunder, and against all amounts paid by them in settlement thereof (provided such settlement is approved by independent legal counsel selected by the Company) or paid by them in satisfaction of a judgment in any such action, suit or proceeding, except in relation to matters as to which it shall be adjudged in such action, suit or proceeding that such person is liable for gross negligence, bad faith or intentional misconduct in duties; provided, however, that within sixty (60) days after the institution of such</w:t>
      </w:r>
    </w:p>
    <w:p>
      <w:pPr>
        <w:spacing w:after="0" w:line="8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84"/>
          </w:cols>
          <w:pgMar w:left="976" w:top="553" w:right="339" w:bottom="1440" w:gutter="0" w:footer="0" w:header="0"/>
        </w:sectPr>
      </w:pPr>
    </w:p>
    <w:bookmarkStart w:id="49" w:name="page50"/>
    <w:bookmarkEnd w:id="49"/>
    <w:p>
      <w:pPr>
        <w:ind w:left="1292" w:right="40"/>
        <w:spacing w:after="0" w:line="282" w:lineRule="auto"/>
        <w:rPr>
          <w:sz w:val="20"/>
          <w:szCs w:val="20"/>
          <w:color w:val="auto"/>
        </w:rPr>
      </w:pPr>
      <w:r>
        <w:rPr>
          <w:rFonts w:ascii="Times New Roman" w:cs="Times New Roman" w:eastAsia="Times New Roman" w:hAnsi="Times New Roman"/>
          <w:sz w:val="18"/>
          <w:szCs w:val="18"/>
          <w:color w:val="auto"/>
        </w:rPr>
        <w:t>action, suit or proceeding, such person shall offer to the Company, in writing, the opportunity at its own expense to handle and defend the same.</w:t>
      </w:r>
    </w:p>
    <w:p>
      <w:pPr>
        <w:spacing w:after="0" w:line="50" w:lineRule="exact"/>
        <w:rPr>
          <w:sz w:val="20"/>
          <w:szCs w:val="20"/>
          <w:color w:val="auto"/>
        </w:rPr>
      </w:pPr>
    </w:p>
    <w:p>
      <w:pPr>
        <w:ind w:left="312" w:hanging="312"/>
        <w:spacing w:after="0"/>
        <w:tabs>
          <w:tab w:leader="none" w:pos="312"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SUBJECT TO PLAN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hanging="644"/>
        <w:spacing w:after="0" w:line="253" w:lineRule="auto"/>
        <w:tabs>
          <w:tab w:leader="none" w:pos="12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Maximum Number of Shares Issuable. </w:t>
      </w:r>
      <w:r>
        <w:rPr>
          <w:rFonts w:ascii="Times New Roman" w:cs="Times New Roman" w:eastAsia="Times New Roman" w:hAnsi="Times New Roman"/>
          <w:sz w:val="18"/>
          <w:szCs w:val="18"/>
          <w:color w:val="auto"/>
        </w:rPr>
        <w:t>Subject to adjustment as provided in Section 4.3, the maximum aggregate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Stock that may be issued under the Plan shall be </w:t>
      </w:r>
      <w:r>
        <w:rPr>
          <w:rFonts w:ascii="Times New Roman" w:cs="Times New Roman" w:eastAsia="Times New Roman" w:hAnsi="Times New Roman"/>
          <w:sz w:val="18"/>
          <w:szCs w:val="18"/>
          <w:b w:val="1"/>
          <w:bCs w:val="1"/>
          <w:color w:val="auto"/>
        </w:rPr>
        <w:t>6,248,100. S</w:t>
      </w:r>
      <w:r>
        <w:rPr>
          <w:rFonts w:ascii="Times New Roman" w:cs="Times New Roman" w:eastAsia="Times New Roman" w:hAnsi="Times New Roman"/>
          <w:sz w:val="18"/>
          <w:szCs w:val="18"/>
          <w:color w:val="auto"/>
        </w:rPr>
        <w:t>hares issued under the Plan shall consist of authorized but unissued or reacquired shares of Stock or any combination thereof. If all or a portion of an outstanding Award for any reason expires, terminates, is canceled or settled in cash, any shares of Stock subject to that portion of the Award that expired, terminated, was cancelled or was settled in cash shall again be available for issuance under the Plan. If shares of Restricted Stock are forfeited, the shares of Stock so forfeited shall again be available for issuance under the Plan. Notwithstanding the foregoing, shares of Stock that are exchanged by a Participant or withheld by the Company as full or partial payment of the exercise price of an Option, as well as any shares of Stock exchanged by a Participant or withheld by the Company or any Subsidiary to satisfy the tax withholding obligations related to any Award under the Plan, shall not be available for subsequent Awards under the Plan. If any shares of Stock delivered to a Participant upon the exercise of an Option, or any shares of Stock issued to a Participant pursuant to any other Award, shall for any reason be repurchased by the Company under a repurchase option provided under any Award Agreement, the shares of Stock repurchased by the Company under such repurchase option shall revert to and become available for issuance again under the Plan.</w:t>
      </w:r>
    </w:p>
    <w:p>
      <w:pPr>
        <w:spacing w:after="0" w:line="81" w:lineRule="exact"/>
        <w:rPr>
          <w:rFonts w:ascii="Times New Roman" w:cs="Times New Roman" w:eastAsia="Times New Roman" w:hAnsi="Times New Roman"/>
          <w:sz w:val="18"/>
          <w:szCs w:val="18"/>
          <w:color w:val="auto"/>
        </w:rPr>
      </w:pPr>
    </w:p>
    <w:p>
      <w:pPr>
        <w:ind w:left="1292" w:right="440" w:hanging="644"/>
        <w:spacing w:after="0" w:line="262" w:lineRule="auto"/>
        <w:tabs>
          <w:tab w:leader="none" w:pos="12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Limits. </w:t>
      </w:r>
      <w:r>
        <w:rPr>
          <w:rFonts w:ascii="Times New Roman" w:cs="Times New Roman" w:eastAsia="Times New Roman" w:hAnsi="Times New Roman"/>
          <w:sz w:val="18"/>
          <w:szCs w:val="18"/>
          <w:color w:val="auto"/>
        </w:rPr>
        <w:t>Subject to adjustment as provided in Section 4.3, the maximum aggregate number of shares of Stock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Awards may be granted in a single calendar year to an individual Participant may not exceed 316,033 shares. The maximum amount a Participant may earn for any calendar year under cash incentive awards (including Annual Incentive Awards and cash Performance Based Awards) granted to such Participant under the Plan is $5 million.</w:t>
      </w:r>
    </w:p>
    <w:p>
      <w:pPr>
        <w:spacing w:after="0" w:line="68"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Adjustments for Changes in Capital Structure</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1952" w:right="60" w:hanging="656"/>
        <w:spacing w:after="0" w:line="253" w:lineRule="auto"/>
        <w:tabs>
          <w:tab w:leader="none" w:pos="1942"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stock dividend, stock split, reverse stock split, recapitalization, combination, reclassification or similar change in the capital structure of the Company, appropriate adjustments shall be made (i) in the number and class of shares subject to the Plan and to any outstanding Awards (if applicable), (ii) in the exercise or grant price per share of any outstanding Awards (if applicable), and (iii) in the maximum number of shares with respect to which Awards may be granted to any Participant in a calendar year. If a majority of the shares which are of the same class as the shares that are subject to outstanding Awards are exchanged for, converted into, or otherwise become (whether or not pursuant to an Ownership Change Event, as defined in Section 17.1) shares of another corporation (the “</w:t>
      </w:r>
      <w:r>
        <w:rPr>
          <w:rFonts w:ascii="Times New Roman" w:cs="Times New Roman" w:eastAsia="Times New Roman" w:hAnsi="Times New Roman"/>
          <w:sz w:val="18"/>
          <w:szCs w:val="18"/>
          <w:b w:val="1"/>
          <w:bCs w:val="1"/>
          <w:i w:val="1"/>
          <w:iCs w:val="1"/>
          <w:color w:val="auto"/>
        </w:rPr>
        <w:t>New Shares</w:t>
      </w:r>
      <w:r>
        <w:rPr>
          <w:rFonts w:ascii="Times New Roman" w:cs="Times New Roman" w:eastAsia="Times New Roman" w:hAnsi="Times New Roman"/>
          <w:sz w:val="18"/>
          <w:szCs w:val="18"/>
          <w:color w:val="auto"/>
        </w:rPr>
        <w:t>”), the Committee may unilaterally amend the outstanding Awards to provide that such Awards are exercisable for or settled in New Shares. In the event of any such amendment, the number of shares subject to, and the exercise price per share of, the outstanding Awards shall be adjusted in a fair and equitable manner as determined by the Committee, in its discretion. Notwithstanding the foregoing, any fractional share resulting from an adjustment pursuant to this Section 4.3 shall be rounded down to the nearest whole number, and in no event may the exercise price of any Award be decreased to an amount less than the par value, if any, of the stock subject to the Award. The adjustments determined by the Committee pursuant to this Section 4.3 shall be final, binding and conclusive.</w:t>
      </w:r>
    </w:p>
    <w:p>
      <w:pPr>
        <w:spacing w:after="0" w:line="79" w:lineRule="exact"/>
        <w:rPr>
          <w:rFonts w:ascii="Times New Roman" w:cs="Times New Roman" w:eastAsia="Times New Roman" w:hAnsi="Times New Roman"/>
          <w:sz w:val="18"/>
          <w:szCs w:val="18"/>
          <w:color w:val="auto"/>
        </w:rPr>
      </w:pPr>
    </w:p>
    <w:p>
      <w:pPr>
        <w:ind w:left="1952" w:right="20" w:hanging="656"/>
        <w:spacing w:after="0" w:line="254" w:lineRule="auto"/>
        <w:tabs>
          <w:tab w:leader="none" w:pos="1952"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adjustments permitted under paragraph (a) above, the Committee, in its sole discretion, may make such other adjustments or modifications in the terms of any Awards that it deems appropriate to reflect any of the events described in Section 4.3(a), including, but not limited to, (i) modifications of performance goals and changes in the length of Performance Cycles or performance periods, (ii) the substitution of other property of equivalent value (including, without limitation, cash, other securities and securities of entities other than the Company that agree to such substitution) for the shares of Stock available under the Plan or the shares of Stock covered by outstanding Awards, including arranging for the assumption, or replacement with new awards, of Awards held by Participants, but in either case only to the extent permitted by Prior Section 162(m) of the Code with respect to Awards intended to qualify for the Performance-Based Exception, or (iii) in connection with any sale of a Subsidiary, arranging for the assumption, or replacement with new</w:t>
      </w:r>
    </w:p>
    <w:p>
      <w:pPr>
        <w:spacing w:after="0" w:line="80"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32"/>
          </w:cols>
          <w:pgMar w:left="328" w:top="553" w:right="339" w:bottom="1440" w:gutter="0" w:footer="0" w:header="0"/>
        </w:sectPr>
      </w:pPr>
    </w:p>
    <w:bookmarkStart w:id="50" w:name="page51"/>
    <w:bookmarkEnd w:id="50"/>
    <w:p>
      <w:pPr>
        <w:ind w:left="1960" w:right="420"/>
        <w:spacing w:after="0" w:line="282" w:lineRule="auto"/>
        <w:rPr>
          <w:sz w:val="20"/>
          <w:szCs w:val="20"/>
          <w:color w:val="auto"/>
        </w:rPr>
      </w:pPr>
      <w:r>
        <w:rPr>
          <w:rFonts w:ascii="Times New Roman" w:cs="Times New Roman" w:eastAsia="Times New Roman" w:hAnsi="Times New Roman"/>
          <w:sz w:val="18"/>
          <w:szCs w:val="18"/>
          <w:color w:val="auto"/>
        </w:rPr>
        <w:t>awards, of Awards held by Participants employed by the affected Subsidiary by the Subsidiary or an entity that controls the Subsidiary following the sale of such Subsidiary.</w:t>
      </w:r>
    </w:p>
    <w:p>
      <w:pPr>
        <w:spacing w:after="0" w:line="54" w:lineRule="exact"/>
        <w:rPr>
          <w:sz w:val="20"/>
          <w:szCs w:val="20"/>
          <w:color w:val="auto"/>
        </w:rPr>
      </w:pPr>
    </w:p>
    <w:p>
      <w:pPr>
        <w:ind w:left="1960" w:right="80" w:hanging="656"/>
        <w:spacing w:after="0" w:line="266" w:lineRule="auto"/>
        <w:tabs>
          <w:tab w:leader="none" w:pos="1950" w:val="left"/>
        </w:tabs>
        <w:numPr>
          <w:ilvl w:val="2"/>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the Committee as to the foregoing adjustments set forth in this Section 4.3(c), if any, shall be made in accordance with Sections 409A or 424 of the Code, to the extent applicable, and shall be conclusive and binding on Participants under the Plan.</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 AND OPTION LIMITATIONS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60" w:hanging="644"/>
        <w:spacing w:after="0" w:line="26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Persons Eligible for Awards. </w:t>
      </w:r>
      <w:r>
        <w:rPr>
          <w:rFonts w:ascii="Times New Roman" w:cs="Times New Roman" w:eastAsia="Times New Roman" w:hAnsi="Times New Roman"/>
          <w:sz w:val="18"/>
          <w:szCs w:val="18"/>
          <w:color w:val="auto"/>
        </w:rPr>
        <w:t>Awards may be granted pursuant to this Plan only to Employees, Consultants, and Directors.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foregoing sentence, “Employees,” “Consultants” and “Directors” shall include prospective Employees, prospective Consultants and prospective Directors to whom Awards are granted in connection with written offers of an employment or other service relationship with the Participating Company Group. Eligible persons may be granted more than one Award.</w:t>
      </w:r>
    </w:p>
    <w:p>
      <w:pPr>
        <w:spacing w:after="0" w:line="68" w:lineRule="exact"/>
        <w:rPr>
          <w:rFonts w:ascii="Times New Roman" w:cs="Times New Roman" w:eastAsia="Times New Roman" w:hAnsi="Times New Roman"/>
          <w:sz w:val="18"/>
          <w:szCs w:val="18"/>
          <w:color w:val="auto"/>
        </w:rPr>
      </w:pPr>
    </w:p>
    <w:p>
      <w:pPr>
        <w:ind w:left="1300" w:right="220" w:hanging="644"/>
        <w:spacing w:after="0" w:line="262" w:lineRule="auto"/>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Grant Restrictions. </w:t>
      </w:r>
      <w:r>
        <w:rPr>
          <w:rFonts w:ascii="Times New Roman" w:cs="Times New Roman" w:eastAsia="Times New Roman" w:hAnsi="Times New Roman"/>
          <w:sz w:val="18"/>
          <w:szCs w:val="18"/>
          <w:color w:val="auto"/>
        </w:rPr>
        <w:t>Any person who is not an Employee on the effective date of the grant of an Option to such person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only a Nonstatutory Stock Option. An Incentive Stock Option granted to a prospective Employee upon the condition that such person become an Employee shall be deemed granted effective on the date such person commences Service with a Participating Company, with an exercise price determined as of such date in accordance with Section 6.1.</w:t>
      </w:r>
    </w:p>
    <w:p>
      <w:pPr>
        <w:spacing w:after="0" w:line="68" w:lineRule="exact"/>
        <w:rPr>
          <w:rFonts w:ascii="Times New Roman" w:cs="Times New Roman" w:eastAsia="Times New Roman" w:hAnsi="Times New Roman"/>
          <w:sz w:val="18"/>
          <w:szCs w:val="18"/>
          <w:color w:val="auto"/>
        </w:rPr>
      </w:pPr>
    </w:p>
    <w:p>
      <w:pPr>
        <w:ind w:left="1300" w:hanging="644"/>
        <w:spacing w:after="0" w:line="270" w:lineRule="auto"/>
        <w:tabs>
          <w:tab w:leader="none" w:pos="1300"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Fair Market Value Limitation. </w:t>
      </w:r>
      <w:r>
        <w:rPr>
          <w:rFonts w:ascii="Times New Roman" w:cs="Times New Roman" w:eastAsia="Times New Roman" w:hAnsi="Times New Roman"/>
          <w:sz w:val="17"/>
          <w:szCs w:val="17"/>
          <w:color w:val="auto"/>
        </w:rPr>
        <w:t>To the extent that Options designated as Incentive Stock Options (granted under all stock option plans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Participating Company Group, including the Plan) become exercisable by a Participant for the first time during any calendar year for Stock having a Fair Market Value greater than One Hundred Thousand Dollars ($100,000), the portions of such Options which exceed such amount shall be treated as Nonstatutory Stock Options. For purposes of this Section 5.3, options designated as Incentive Stock Options shall be taken into account in the order in which they were granted, and the Fair Market Value of Stock shall be determined as of the time the Option with respect to such Stock is granted. If the Code is amended to provide for a different limitation from that set forth in this Section 5.3, such different limitation shall be deemed incorporated herein effective as of the date and with respect to such Options as required or permitted by such amendment to the Code. If an Option is treated as an Incentive Stock Option in part and as a Nonstatutory Stock Option in part by reason of the limitation set forth in this Section 5.3, the Participant may designate which portion of such Option the Participant is exercising. In the absence of such designation, the Participant shall be deemed to have exercised the Incentive Stock Option portion of the Option first. Separate certificates representing each such portion shall be issued upon the exercise of the Option.</w:t>
      </w:r>
    </w:p>
    <w:p>
      <w:pPr>
        <w:spacing w:after="0" w:line="64" w:lineRule="exact"/>
        <w:rPr>
          <w:rFonts w:ascii="Times New Roman" w:cs="Times New Roman" w:eastAsia="Times New Roman" w:hAnsi="Times New Roman"/>
          <w:sz w:val="17"/>
          <w:szCs w:val="17"/>
          <w:color w:val="auto"/>
        </w:rPr>
      </w:pPr>
    </w:p>
    <w:p>
      <w:pPr>
        <w:ind w:left="320" w:hanging="312"/>
        <w:spacing w:after="0"/>
        <w:tabs>
          <w:tab w:leader="none" w:pos="3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TERMS AND CONDITIONS OF OPTIONS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Options shall be evidenced by Option Agreements specifying the number of shares of Stock covered thereby, in such form as the Committee shall from time to time establish. No Option or purported Option shall be a valid and binding obligation of the Company unless evidenced by a fully executed Option Agreement. Option Agreements may incorporate all or any of the terms of the Plan by reference and shall comply with and be subject to the following terms and conditions:</w:t>
      </w:r>
    </w:p>
    <w:p>
      <w:pPr>
        <w:spacing w:after="0" w:line="68" w:lineRule="exact"/>
        <w:rPr>
          <w:sz w:val="20"/>
          <w:szCs w:val="20"/>
          <w:color w:val="auto"/>
        </w:rPr>
      </w:pPr>
    </w:p>
    <w:p>
      <w:pPr>
        <w:jc w:val="both"/>
        <w:ind w:left="1300" w:hanging="644"/>
        <w:spacing w:after="0" w:line="256"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The exercise price for each Option shall be established in the discretion of the Committee; provided, however, that (a)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price per share for an Option shall be not less than the Fair Market Value of a share of Stock on the effective date of grant of the Option, and (b) no Incentive Stock Option granted to a Ten Percent Owner Participant shall have an exercise price per share less than one hundred ten percent (110%) of the Fair Market Value of a share of Stock on the effective date of grant of the Option. Notwithstanding the foregoing, an Option (whether an Incentive Stock Option or a Nonstatutory Stock Option) may be granted with an exercise price lower than the minimum exercise price set forth above if such Option is granted pursuant to an assumption or substitution for another option in a manner qualifying under the provisions of Section 424(a) of the Code.</w:t>
      </w:r>
    </w:p>
    <w:p>
      <w:pPr>
        <w:spacing w:after="0" w:line="74" w:lineRule="exact"/>
        <w:rPr>
          <w:rFonts w:ascii="Times New Roman" w:cs="Times New Roman" w:eastAsia="Times New Roman" w:hAnsi="Times New Roman"/>
          <w:sz w:val="18"/>
          <w:szCs w:val="18"/>
          <w:color w:val="auto"/>
        </w:rPr>
      </w:pPr>
    </w:p>
    <w:p>
      <w:pPr>
        <w:jc w:val="both"/>
        <w:ind w:left="1300" w:hanging="644"/>
        <w:spacing w:after="0" w:line="254" w:lineRule="auto"/>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Exercisability and Term of Options. </w:t>
      </w:r>
      <w:r>
        <w:rPr>
          <w:rFonts w:ascii="Times New Roman" w:cs="Times New Roman" w:eastAsia="Times New Roman" w:hAnsi="Times New Roman"/>
          <w:sz w:val="18"/>
          <w:szCs w:val="18"/>
          <w:color w:val="auto"/>
        </w:rPr>
        <w:t>Options shall be exercisable at such time or times, or upon such event or events, and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terms, conditions, performance criteria and restrictions as shall be determined by the Committee and set forth in the Option Agreement evidencing such Option; provided, however, that (a) no Option shall be exercisable after the expiration of ten (10) years after the effective date of grant of such Option, (b) no Incentive Stock Option granted to a Ten Percent Owner Participant shall be exercisable after the expiration of five (5) years after the effective date of grant of such Option, and (c) no Option granted to a prospective Employee, prospective Consultant or prospective Director may become exercisable prior to the date on which such person commences Service with a Participating Company. Subject to the foregoing, unless otherwise specified by the Committee in the grant of an Option, any Option granted hereunder shall terminate ten (10) years after the effective date of grant of the Option, unless earlier terminated in accordance with its provisions.</w:t>
      </w:r>
    </w:p>
    <w:p>
      <w:pPr>
        <w:spacing w:after="0" w:line="8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Payment of Exercise Price.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553" w:right="339" w:bottom="1440" w:gutter="0" w:footer="0" w:header="0"/>
        </w:sectPr>
      </w:pPr>
    </w:p>
    <w:bookmarkStart w:id="51" w:name="page52"/>
    <w:bookmarkEnd w:id="51"/>
    <w:p>
      <w:pPr>
        <w:ind w:left="1304" w:right="20" w:hanging="656"/>
        <w:spacing w:after="0" w:line="253" w:lineRule="auto"/>
        <w:tabs>
          <w:tab w:leader="none" w:pos="129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Forms of Consideration Authorized</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below, payment of the exercise price for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Stock being purchased pursuant to any Option shall be made (i) in cash, by check or cash equivalent, (ii) by tender to the Company, or attestation to the ownership, of shares of Stock owned by the Participant having a Fair Market Value (as determined by the Company without regard to any restrictions on transferability applicable to such stock by reason of federal or state securities laws or agreements with an underwriter for the Company) not less than the exercise price, (iii) by delivery of a properly executed notice together with irrevocable instructions to a broker providing for the assignment to the Company of the proceeds of a sale or loan with respect to some or all of the shares being acquired upon the exercise of the Option (including, without limitation, through an exercise complying with the provisions of Regulation T as promulgated from time to time by the Board of Governors of the Federal Reserve System) (a “</w:t>
      </w:r>
      <w:r>
        <w:rPr>
          <w:rFonts w:ascii="Times New Roman" w:cs="Times New Roman" w:eastAsia="Times New Roman" w:hAnsi="Times New Roman"/>
          <w:sz w:val="18"/>
          <w:szCs w:val="18"/>
          <w:b w:val="1"/>
          <w:bCs w:val="1"/>
          <w:i w:val="1"/>
          <w:iCs w:val="1"/>
          <w:color w:val="auto"/>
        </w:rPr>
        <w:t>Cashless Exercise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(iv) by such other consideration as may be approved by the Committee from time to time to the extent permitted by applicable law, or (v) by any combination thereof. In no event shall the Company accept a promissory note in payment of the exercise price, or make a loan to a Participant to enable the Participant to exercise an Option. The Committee may at any time or from time to time, by approval of or by amendment to the standard forms of Option Agreement described in Section 6.6, or by other means, grant Options which do not permit all of the foregoing forms of consideration to be used in payment of the exercise price or which otherwise restrict one or more forms of consideration.</w:t>
      </w:r>
    </w:p>
    <w:p>
      <w:pPr>
        <w:spacing w:after="0" w:line="75"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Limitations on Forms of Consideration.</w:t>
      </w:r>
    </w:p>
    <w:p>
      <w:pPr>
        <w:spacing w:after="0" w:line="117" w:lineRule="exact"/>
        <w:rPr>
          <w:rFonts w:ascii="Times New Roman" w:cs="Times New Roman" w:eastAsia="Times New Roman" w:hAnsi="Times New Roman"/>
          <w:sz w:val="18"/>
          <w:szCs w:val="18"/>
          <w:color w:val="auto"/>
        </w:rPr>
      </w:pPr>
    </w:p>
    <w:p>
      <w:pPr>
        <w:ind w:left="1944" w:right="240" w:hanging="743"/>
        <w:spacing w:after="0" w:line="268" w:lineRule="auto"/>
        <w:tabs>
          <w:tab w:leader="none" w:pos="1944" w:val="left"/>
        </w:tabs>
        <w:numPr>
          <w:ilvl w:val="2"/>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Tender of Stock. </w:t>
      </w:r>
      <w:r>
        <w:rPr>
          <w:rFonts w:ascii="Times New Roman" w:cs="Times New Roman" w:eastAsia="Times New Roman" w:hAnsi="Times New Roman"/>
          <w:sz w:val="18"/>
          <w:szCs w:val="18"/>
          <w:color w:val="auto"/>
        </w:rPr>
        <w:t>Notwithstanding the foregoing, an Option may not be exercised by tender to the Company,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attestation to the ownership, of shares of Stock to the extent such tender or attestation would constitute a violation of the provisions of any law, regulation or agreement restricting the redemption of the Company’s stock.</w:t>
      </w:r>
    </w:p>
    <w:p>
      <w:pPr>
        <w:spacing w:after="0" w:line="62" w:lineRule="exact"/>
        <w:rPr>
          <w:rFonts w:ascii="Times New Roman" w:cs="Times New Roman" w:eastAsia="Times New Roman" w:hAnsi="Times New Roman"/>
          <w:sz w:val="18"/>
          <w:szCs w:val="18"/>
          <w:b w:val="1"/>
          <w:bCs w:val="1"/>
          <w:color w:val="auto"/>
        </w:rPr>
      </w:pPr>
    </w:p>
    <w:p>
      <w:pPr>
        <w:ind w:left="1944" w:hanging="793"/>
        <w:spacing w:after="0" w:line="268" w:lineRule="auto"/>
        <w:tabs>
          <w:tab w:leader="none" w:pos="1944"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Cashless Exercise. </w:t>
      </w:r>
      <w:r>
        <w:rPr>
          <w:rFonts w:ascii="Times New Roman" w:cs="Times New Roman" w:eastAsia="Times New Roman" w:hAnsi="Times New Roman"/>
          <w:sz w:val="18"/>
          <w:szCs w:val="18"/>
          <w:color w:val="auto"/>
        </w:rPr>
        <w:t>The Company reserves, at any and all times, the right, in the Company’s sole and absolute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to establish, decline to approve or terminate any program or procedures for the exercise of Options by means of a Cashless Exercise.</w:t>
      </w:r>
    </w:p>
    <w:p>
      <w:pPr>
        <w:spacing w:after="0" w:line="62"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Service</w:t>
      </w:r>
    </w:p>
    <w:p>
      <w:pPr>
        <w:spacing w:after="0" w:line="117" w:lineRule="exact"/>
        <w:rPr>
          <w:rFonts w:ascii="Times New Roman" w:cs="Times New Roman" w:eastAsia="Times New Roman" w:hAnsi="Times New Roman"/>
          <w:sz w:val="18"/>
          <w:szCs w:val="18"/>
          <w:color w:val="auto"/>
        </w:rPr>
      </w:pPr>
    </w:p>
    <w:p>
      <w:pPr>
        <w:ind w:left="1304" w:hanging="656"/>
        <w:spacing w:after="0" w:line="262" w:lineRule="auto"/>
        <w:tabs>
          <w:tab w:leader="none" w:pos="1001" w:val="left"/>
        </w:tabs>
        <w:numPr>
          <w:ilvl w:val="1"/>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Exercisability</w:t>
      </w:r>
      <w:r>
        <w:rPr>
          <w:rFonts w:ascii="Times New Roman" w:cs="Times New Roman" w:eastAsia="Times New Roman" w:hAnsi="Times New Roman"/>
          <w:sz w:val="18"/>
          <w:szCs w:val="18"/>
          <w:color w:val="auto"/>
        </w:rPr>
        <w:t>. Subject to earlier termination of the Option as otherwise provided herein and unless otherwise provided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Committee in the grant of an Option and set forth in the Option Agreement, an Option shall be exercisable after a Participant’s termination of Service only during the applicable time period determined in accordance with this Section 6.4 and thereafter shall terminate:</w:t>
      </w:r>
    </w:p>
    <w:p>
      <w:pPr>
        <w:spacing w:after="0" w:line="68" w:lineRule="exact"/>
        <w:rPr>
          <w:rFonts w:ascii="Times New Roman" w:cs="Times New Roman" w:eastAsia="Times New Roman" w:hAnsi="Times New Roman"/>
          <w:sz w:val="18"/>
          <w:szCs w:val="18"/>
          <w:color w:val="auto"/>
        </w:rPr>
      </w:pPr>
    </w:p>
    <w:p>
      <w:pPr>
        <w:jc w:val="both"/>
        <w:ind w:left="1944" w:hanging="648"/>
        <w:spacing w:after="0" w:line="257" w:lineRule="auto"/>
        <w:tabs>
          <w:tab w:leader="none" w:pos="1931" w:val="left"/>
        </w:tabs>
        <w:numPr>
          <w:ilvl w:val="3"/>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If the Participant’s Service with the Participating Company Group terminates because of the Disability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the Option, to the extent unexercised and exercisable on the date on which the Participant’s Service terminated, may be exercised by the Participant (or the Participant’s guardian or legal representative) at any time prior to the expiration of one (1) year (or such other period of time as determined by the Committee, in its discretion) after the date on which the Participant’s Service terminated, but in any event no later than the date of expiration of the Option’s term as set forth in the Option Agreement evidencing such Option (the “</w:t>
      </w:r>
      <w:r>
        <w:rPr>
          <w:rFonts w:ascii="Times New Roman" w:cs="Times New Roman" w:eastAsia="Times New Roman" w:hAnsi="Times New Roman"/>
          <w:sz w:val="18"/>
          <w:szCs w:val="18"/>
          <w:b w:val="1"/>
          <w:bCs w:val="1"/>
          <w:i w:val="1"/>
          <w:iCs w:val="1"/>
          <w:color w:val="auto"/>
        </w:rPr>
        <w:t>Option Expiration Date</w:t>
      </w:r>
      <w:r>
        <w:rPr>
          <w:rFonts w:ascii="Times New Roman" w:cs="Times New Roman" w:eastAsia="Times New Roman" w:hAnsi="Times New Roman"/>
          <w:sz w:val="18"/>
          <w:szCs w:val="18"/>
          <w:i w:val="1"/>
          <w:iCs w:val="1"/>
          <w:color w:val="auto"/>
        </w:rPr>
        <w:t>”).</w:t>
      </w:r>
    </w:p>
    <w:p>
      <w:pPr>
        <w:spacing w:after="0" w:line="74" w:lineRule="exact"/>
        <w:rPr>
          <w:rFonts w:ascii="Times New Roman" w:cs="Times New Roman" w:eastAsia="Times New Roman" w:hAnsi="Times New Roman"/>
          <w:sz w:val="18"/>
          <w:szCs w:val="18"/>
          <w:color w:val="auto"/>
        </w:rPr>
      </w:pPr>
    </w:p>
    <w:p>
      <w:pPr>
        <w:jc w:val="both"/>
        <w:ind w:left="1944" w:hanging="648"/>
        <w:spacing w:after="0" w:line="255" w:lineRule="auto"/>
        <w:tabs>
          <w:tab w:leader="none" w:pos="1940" w:val="left"/>
        </w:tabs>
        <w:numPr>
          <w:ilvl w:val="3"/>
          <w:numId w:val="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b w:val="1"/>
          <w:bCs w:val="1"/>
          <w:color w:val="auto"/>
        </w:rPr>
        <w:t xml:space="preserve">Death. </w:t>
      </w:r>
      <w:r>
        <w:rPr>
          <w:rFonts w:ascii="Times New Roman" w:cs="Times New Roman" w:eastAsia="Times New Roman" w:hAnsi="Times New Roman"/>
          <w:sz w:val="18"/>
          <w:szCs w:val="18"/>
          <w:color w:val="auto"/>
        </w:rPr>
        <w:t>If the Participant’s Service with the Participating Company Group terminates because of the death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the Option, to the extent unexercised and exercisable on the date on which the Participant’s Service terminated, may be exercised by the Participant’s legal representative or other person who acquired the right to exercise the Option by reason of the Participant’s death at any time prior to the expiration of one (1) year (or such other period of time as determined by the Committee, in its discretion) after the date on which the Participant’s Service terminated, but in any event no later than the Option Expiration Date. The Participant’s Service shall be deemed to have terminated on account of death if the Participant dies within three (3) months (or such other period of time as determined by the Committee, in its discretion) after the Participant’s termination of Service.</w:t>
      </w:r>
    </w:p>
    <w:p>
      <w:pPr>
        <w:spacing w:after="0" w:line="76" w:lineRule="exact"/>
        <w:rPr>
          <w:rFonts w:ascii="Times New Roman" w:cs="Times New Roman" w:eastAsia="Times New Roman" w:hAnsi="Times New Roman"/>
          <w:sz w:val="18"/>
          <w:szCs w:val="18"/>
          <w:i w:val="1"/>
          <w:iCs w:val="1"/>
          <w:color w:val="auto"/>
        </w:rPr>
      </w:pPr>
    </w:p>
    <w:p>
      <w:pPr>
        <w:ind w:left="1944" w:hanging="648"/>
        <w:spacing w:after="0" w:line="286" w:lineRule="auto"/>
        <w:tabs>
          <w:tab w:leader="none" w:pos="1936" w:val="left"/>
        </w:tabs>
        <w:numPr>
          <w:ilvl w:val="3"/>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If the Participant’s Service with the Participating Company Group is terminated for Cause, the Option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terminate and cease to be exercisable immediately upon such termination of Service.</w:t>
      </w:r>
    </w:p>
    <w:p>
      <w:pPr>
        <w:spacing w:after="0" w:line="46" w:lineRule="exact"/>
        <w:rPr>
          <w:rFonts w:ascii="Times New Roman" w:cs="Times New Roman" w:eastAsia="Times New Roman" w:hAnsi="Times New Roman"/>
          <w:sz w:val="18"/>
          <w:szCs w:val="18"/>
          <w:color w:val="auto"/>
        </w:rPr>
      </w:pPr>
    </w:p>
    <w:p>
      <w:pPr>
        <w:jc w:val="both"/>
        <w:ind w:left="1944" w:hanging="648"/>
        <w:spacing w:after="0" w:line="268" w:lineRule="auto"/>
        <w:tabs>
          <w:tab w:leader="none" w:pos="1928" w:val="left"/>
        </w:tabs>
        <w:numPr>
          <w:ilvl w:val="3"/>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Termination of Service. </w:t>
      </w:r>
      <w:r>
        <w:rPr>
          <w:rFonts w:ascii="Times New Roman" w:cs="Times New Roman" w:eastAsia="Times New Roman" w:hAnsi="Times New Roman"/>
          <w:sz w:val="18"/>
          <w:szCs w:val="18"/>
          <w:color w:val="auto"/>
        </w:rPr>
        <w:t>If the Participant’s Service with the Participating Company Group terminates for any reason,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Disability, death or Cause, the Option, to the extent unexercised and exercisable by the Participant on the date on which the Participant’s</w:t>
      </w:r>
    </w:p>
    <w:p>
      <w:pPr>
        <w:spacing w:after="0" w:line="67"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84"/>
          </w:cols>
          <w:pgMar w:left="976" w:top="549" w:right="339" w:bottom="1440" w:gutter="0" w:footer="0" w:header="0"/>
        </w:sectPr>
      </w:pPr>
    </w:p>
    <w:bookmarkStart w:id="52" w:name="page53"/>
    <w:bookmarkEnd w:id="52"/>
    <w:p>
      <w:pPr>
        <w:jc w:val="both"/>
        <w:ind w:left="2592"/>
        <w:spacing w:after="0" w:line="266" w:lineRule="auto"/>
        <w:rPr>
          <w:sz w:val="20"/>
          <w:szCs w:val="20"/>
          <w:color w:val="auto"/>
        </w:rPr>
      </w:pPr>
      <w:r>
        <w:rPr>
          <w:rFonts w:ascii="Times New Roman" w:cs="Times New Roman" w:eastAsia="Times New Roman" w:hAnsi="Times New Roman"/>
          <w:sz w:val="18"/>
          <w:szCs w:val="18"/>
          <w:color w:val="auto"/>
        </w:rPr>
        <w:t>Service terminated, may be exercised by the Participant at any time prior to the expiration of three (3) months (or such other period of time as determined by the Committee, in its discretion) after the date on which the Participant’s Service terminated, but in any event no later than the Option Expiration Date.</w:t>
      </w:r>
    </w:p>
    <w:p>
      <w:pPr>
        <w:spacing w:after="0" w:line="64" w:lineRule="exact"/>
        <w:rPr>
          <w:sz w:val="20"/>
          <w:szCs w:val="20"/>
          <w:color w:val="auto"/>
        </w:rPr>
      </w:pPr>
    </w:p>
    <w:p>
      <w:pPr>
        <w:ind w:left="1952" w:hanging="656"/>
        <w:spacing w:after="0" w:line="262" w:lineRule="auto"/>
        <w:tabs>
          <w:tab w:leader="none" w:pos="1673"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Extension if Exercise Prevented by Law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the foregoing, if the exercise of an Option within the applicable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set forth in Section 6.4(a) is prevented by the provisions of Section 20 below, the Option shall remain exercisable until three (3) months (or such longer period of time as determined by the Committee, in its discretion) after the date the Participant is notified by the Company that the Option is exercisable, but in any event no later than the Option Expiration Date.</w:t>
      </w:r>
    </w:p>
    <w:p>
      <w:pPr>
        <w:spacing w:after="0" w:line="68" w:lineRule="exact"/>
        <w:rPr>
          <w:rFonts w:ascii="Times New Roman" w:cs="Times New Roman" w:eastAsia="Times New Roman" w:hAnsi="Times New Roman"/>
          <w:sz w:val="18"/>
          <w:szCs w:val="18"/>
          <w:color w:val="auto"/>
        </w:rPr>
      </w:pPr>
    </w:p>
    <w:p>
      <w:pPr>
        <w:ind w:left="1952" w:hanging="656"/>
        <w:spacing w:after="0" w:line="260" w:lineRule="auto"/>
        <w:tabs>
          <w:tab w:leader="none" w:pos="1649"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Extension if Participant Subject to Section 16(b). </w:t>
      </w:r>
      <w:r>
        <w:rPr>
          <w:rFonts w:ascii="Times New Roman" w:cs="Times New Roman" w:eastAsia="Times New Roman" w:hAnsi="Times New Roman"/>
          <w:sz w:val="18"/>
          <w:szCs w:val="18"/>
          <w:color w:val="auto"/>
        </w:rPr>
        <w:t>Notwithstanding the foregoing, if a sale within the applicable time periods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Section 6.4(a) of shares acquired upon the exercise of the Option would subject the Participant to suit under Section 16(b) of the Exchange Act, the Option shall remain exercisable until the earliest to occur of (i) the tenth (10th) day following the date on which a sale of such shares by the Participant would no longer be subject to such suit, (ii) the one hundred and ninetieth (190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day after the Participant’s termination of Service, or (iii) the Option Expiration Date.</w:t>
      </w:r>
    </w:p>
    <w:p>
      <w:pPr>
        <w:spacing w:after="0" w:line="4" w:lineRule="exact"/>
        <w:rPr>
          <w:rFonts w:ascii="Times New Roman" w:cs="Times New Roman" w:eastAsia="Times New Roman" w:hAnsi="Times New Roman"/>
          <w:sz w:val="18"/>
          <w:szCs w:val="18"/>
          <w:color w:val="auto"/>
        </w:rPr>
      </w:pPr>
    </w:p>
    <w:p>
      <w:pPr>
        <w:ind w:left="1952" w:hanging="656"/>
        <w:spacing w:after="0" w:line="268" w:lineRule="auto"/>
        <w:tabs>
          <w:tab w:leader="none" w:pos="1700" w:val="left"/>
        </w:tabs>
        <w:numPr>
          <w:ilvl w:val="2"/>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Vesting</w:t>
      </w:r>
      <w:r>
        <w:rPr>
          <w:rFonts w:ascii="Times New Roman" w:cs="Times New Roman" w:eastAsia="Times New Roman" w:hAnsi="Times New Roman"/>
          <w:sz w:val="18"/>
          <w:szCs w:val="18"/>
          <w:color w:val="auto"/>
        </w:rPr>
        <w:t>. Every Option awarded under the Plan (including those Options awarded prior to the Effective Date,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amended to incorporate the following terms) shall become 100% vested if the Participant’s Service with the Participating Company Group terminates because of the death of the Participant, as of the date of the Participant’s death.</w:t>
      </w:r>
    </w:p>
    <w:p>
      <w:pPr>
        <w:spacing w:after="0" w:line="62"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 Payments. </w:t>
      </w:r>
      <w:r>
        <w:rPr>
          <w:rFonts w:ascii="Times New Roman" w:cs="Times New Roman" w:eastAsia="Times New Roman" w:hAnsi="Times New Roman"/>
          <w:sz w:val="18"/>
          <w:szCs w:val="18"/>
          <w:color w:val="auto"/>
        </w:rPr>
        <w:t>No dividends or dividend equivalents will be accrued or paid with respect to Options.</w:t>
      </w:r>
    </w:p>
    <w:p>
      <w:pPr>
        <w:spacing w:after="0" w:line="117"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Standard Forms of Option Agreement.</w:t>
      </w:r>
    </w:p>
    <w:p>
      <w:pPr>
        <w:spacing w:after="0" w:line="117" w:lineRule="exact"/>
        <w:rPr>
          <w:rFonts w:ascii="Times New Roman" w:cs="Times New Roman" w:eastAsia="Times New Roman" w:hAnsi="Times New Roman"/>
          <w:sz w:val="18"/>
          <w:szCs w:val="18"/>
          <w:color w:val="auto"/>
        </w:rPr>
      </w:pPr>
    </w:p>
    <w:p>
      <w:pPr>
        <w:ind w:left="1952" w:right="20" w:hanging="656"/>
        <w:spacing w:after="0" w:line="268" w:lineRule="auto"/>
        <w:tabs>
          <w:tab w:leader="none" w:pos="1942"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Agreement. </w:t>
      </w:r>
      <w:r>
        <w:rPr>
          <w:rFonts w:ascii="Times New Roman" w:cs="Times New Roman" w:eastAsia="Times New Roman" w:hAnsi="Times New Roman"/>
          <w:sz w:val="18"/>
          <w:szCs w:val="18"/>
          <w:color w:val="auto"/>
        </w:rPr>
        <w:t>Unless otherwise provided by the Committee at the time the Option is granted, an Option shall comply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 subject to the terms and conditions set forth in the form of Option Agreement approved by the Committee concurrently with its adoption of the Plan and as amended from time to time.</w:t>
      </w:r>
    </w:p>
    <w:p>
      <w:pPr>
        <w:spacing w:after="0" w:line="62" w:lineRule="exact"/>
        <w:rPr>
          <w:rFonts w:ascii="Times New Roman" w:cs="Times New Roman" w:eastAsia="Times New Roman" w:hAnsi="Times New Roman"/>
          <w:sz w:val="18"/>
          <w:szCs w:val="18"/>
          <w:color w:val="auto"/>
        </w:rPr>
      </w:pPr>
    </w:p>
    <w:p>
      <w:pPr>
        <w:ind w:left="1952" w:right="20" w:hanging="656"/>
        <w:spacing w:after="0" w:line="262" w:lineRule="auto"/>
        <w:tabs>
          <w:tab w:leader="none" w:pos="1952" w:val="left"/>
        </w:tabs>
        <w:numPr>
          <w:ilvl w:val="2"/>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Authority to Vary Terms. </w:t>
      </w:r>
      <w:r>
        <w:rPr>
          <w:rFonts w:ascii="Times New Roman" w:cs="Times New Roman" w:eastAsia="Times New Roman" w:hAnsi="Times New Roman"/>
          <w:sz w:val="18"/>
          <w:szCs w:val="18"/>
          <w:color w:val="auto"/>
        </w:rPr>
        <w:t>The Committee shall have the authority from time to time to vary the terms of any standard form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Agreement described in this Section 6.6 either in connection with the grant or amendment of an individual Option or in connection with the authorization of a new standard form or forms; provided, however, that the terms and conditions of any such new, revised or amended standard form or forms of Option Agreement are not inconsistent with the terms of the Plan.</w:t>
      </w:r>
    </w:p>
    <w:p>
      <w:pPr>
        <w:spacing w:after="0" w:line="6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APPRECIATION RIGHTS</w:t>
      </w:r>
    </w:p>
    <w:p>
      <w:pPr>
        <w:spacing w:after="0" w:line="117" w:lineRule="exact"/>
        <w:rPr>
          <w:rFonts w:ascii="Times New Roman" w:cs="Times New Roman" w:eastAsia="Times New Roman" w:hAnsi="Times New Roman"/>
          <w:sz w:val="18"/>
          <w:szCs w:val="18"/>
          <w:b w:val="1"/>
          <w:bCs w:val="1"/>
          <w:color w:val="auto"/>
        </w:rPr>
      </w:pPr>
    </w:p>
    <w:p>
      <w:pPr>
        <w:ind w:left="1292" w:hanging="644"/>
        <w:spacing w:after="0"/>
        <w:tabs>
          <w:tab w:leader="none" w:pos="1292"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Grant of Stock Appreciation Rights.</w:t>
      </w:r>
    </w:p>
    <w:p>
      <w:pPr>
        <w:spacing w:after="0" w:line="121" w:lineRule="exact"/>
        <w:rPr>
          <w:rFonts w:ascii="Times New Roman" w:cs="Times New Roman" w:eastAsia="Times New Roman" w:hAnsi="Times New Roman"/>
          <w:sz w:val="18"/>
          <w:szCs w:val="18"/>
          <w:color w:val="auto"/>
        </w:rPr>
      </w:pPr>
    </w:p>
    <w:p>
      <w:pPr>
        <w:jc w:val="both"/>
        <w:ind w:left="1952" w:right="80" w:hanging="656"/>
        <w:spacing w:after="0" w:line="266" w:lineRule="auto"/>
        <w:tabs>
          <w:tab w:leader="none" w:pos="194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may be granted to any eligible person selected by the Committee. A Stock Appreciation Right shall be subject to such terms and conditions not inconsistent with the Plan as the Committee shall impose and shall be evidenced by an Award Agreement, provided that the term of any Stock Appreciation Right shall not exceed ten years.</w:t>
      </w:r>
    </w:p>
    <w:p>
      <w:pPr>
        <w:spacing w:after="0" w:line="67" w:lineRule="exact"/>
        <w:rPr>
          <w:rFonts w:ascii="Times New Roman" w:cs="Times New Roman" w:eastAsia="Times New Roman" w:hAnsi="Times New Roman"/>
          <w:sz w:val="18"/>
          <w:szCs w:val="18"/>
          <w:color w:val="auto"/>
        </w:rPr>
      </w:pPr>
    </w:p>
    <w:p>
      <w:pPr>
        <w:ind w:left="1952" w:right="180" w:hanging="656"/>
        <w:spacing w:after="0" w:line="256" w:lineRule="auto"/>
        <w:tabs>
          <w:tab w:leader="none" w:pos="195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 Appreciation Right shall entitle the Participant (or other person entitled to exercise the Stock Appreciation Right pursuant to the Plan) to exercise all or a specified portion of the Stock Appreciation Right (to the extent then exercisable pursuant to its terms) and to receive from the Company an amount equal to the product of (i) the excess of (A) the Fair Market Value of the shares of Stock on the date the Stock Appreciation Right is exercised over (B) the grant price of the Stock Appreciation Right and (ii) the number of shares of Stock with respect to which the Stock Appreciation Right is exercised, subject to any limitations the Committee may impose.</w:t>
      </w:r>
    </w:p>
    <w:p>
      <w:pPr>
        <w:spacing w:after="0" w:line="79" w:lineRule="exact"/>
        <w:rPr>
          <w:rFonts w:ascii="Times New Roman" w:cs="Times New Roman" w:eastAsia="Times New Roman" w:hAnsi="Times New Roman"/>
          <w:sz w:val="18"/>
          <w:szCs w:val="18"/>
          <w:color w:val="auto"/>
        </w:rPr>
      </w:pPr>
    </w:p>
    <w:p>
      <w:pPr>
        <w:ind w:left="1952" w:right="180" w:hanging="656"/>
        <w:spacing w:after="0" w:line="266" w:lineRule="auto"/>
        <w:tabs>
          <w:tab w:leader="none" w:pos="194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grant price per share of Stock subject to a Stock Appreciation Right shall be determined by the Committee and set forth in the Award Agreement;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the grant price for any Stock Appreciation Right shall not be less than 100% of the Fair Market Value of a share of Stock on the date of grant.</w:t>
      </w:r>
    </w:p>
    <w:p>
      <w:pPr>
        <w:spacing w:after="0" w:line="67" w:lineRule="exact"/>
        <w:rPr>
          <w:rFonts w:ascii="Times New Roman" w:cs="Times New Roman" w:eastAsia="Times New Roman" w:hAnsi="Times New Roman"/>
          <w:sz w:val="18"/>
          <w:szCs w:val="18"/>
          <w:color w:val="auto"/>
        </w:rPr>
      </w:pPr>
    </w:p>
    <w:p>
      <w:pPr>
        <w:ind w:left="1952" w:right="140" w:hanging="656"/>
        <w:spacing w:after="0" w:line="282" w:lineRule="auto"/>
        <w:tabs>
          <w:tab w:leader="none" w:pos="1952" w:val="left"/>
        </w:tabs>
        <w:numPr>
          <w:ilvl w:val="2"/>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set forth in Section 6.4 with respect to the exercise of Options following termination of employment shall apply as well to such exercise of SARs.</w:t>
      </w:r>
    </w:p>
    <w:p>
      <w:pPr>
        <w:spacing w:after="0" w:line="50" w:lineRule="exact"/>
        <w:rPr>
          <w:sz w:val="20"/>
          <w:szCs w:val="20"/>
          <w:color w:val="auto"/>
        </w:rPr>
      </w:pPr>
    </w:p>
    <w:p>
      <w:pPr>
        <w:jc w:val="both"/>
        <w:ind w:left="972" w:right="120" w:hanging="647"/>
        <w:spacing w:after="0" w:line="268" w:lineRule="auto"/>
        <w:tabs>
          <w:tab w:leader="none" w:pos="952" w:val="left"/>
        </w:tabs>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 xml:space="preserve">Payment and Limitations on Exercise. </w:t>
      </w:r>
      <w:r>
        <w:rPr>
          <w:rFonts w:ascii="Times New Roman" w:cs="Times New Roman" w:eastAsia="Times New Roman" w:hAnsi="Times New Roman"/>
          <w:sz w:val="18"/>
          <w:szCs w:val="18"/>
          <w:color w:val="auto"/>
        </w:rPr>
        <w:t>Payment of the amounts determined under Section 7.1(b) hereof shall be in cash, in shares of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Fair Market Value as of the date the Stock Appreciation Right is exercised) or a combination of both, as determined by the Committee.</w:t>
      </w:r>
    </w:p>
    <w:p>
      <w:pPr>
        <w:spacing w:after="0" w:line="6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32"/>
          </w:cols>
          <w:pgMar w:left="328" w:top="553" w:right="339" w:bottom="1440" w:gutter="0" w:footer="0" w:header="0"/>
        </w:sectPr>
      </w:pPr>
    </w:p>
    <w:bookmarkStart w:id="53" w:name="page54"/>
    <w:bookmarkEnd w:id="53"/>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color w:val="auto"/>
        </w:rPr>
        <w:t xml:space="preserve">Dividend Payments. </w:t>
      </w:r>
      <w:r>
        <w:rPr>
          <w:rFonts w:ascii="Times New Roman" w:cs="Times New Roman" w:eastAsia="Times New Roman" w:hAnsi="Times New Roman"/>
          <w:sz w:val="17"/>
          <w:szCs w:val="17"/>
          <w:color w:val="auto"/>
        </w:rPr>
        <w:t>No dividends or dividend equivalents will be accrued or paid with respect to SARs.</w:t>
      </w:r>
    </w:p>
    <w:p>
      <w:pPr>
        <w:spacing w:after="0" w:line="117" w:lineRule="exact"/>
        <w:rPr>
          <w:sz w:val="20"/>
          <w:szCs w:val="20"/>
          <w:color w:val="auto"/>
        </w:rPr>
      </w:pPr>
    </w:p>
    <w:p>
      <w:pPr>
        <w:ind w:left="320" w:hanging="312"/>
        <w:spacing w:after="0"/>
        <w:tabs>
          <w:tab w:leader="none" w:pos="3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AWARDS TO NON-EMPLOYEE DIRECTORS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Non-Employee Directors are eligible to receive any type of Award under this Plan other than Incentive Stock Options. The grant of an Award to a Non-Employee Director shall be made by the Committee, subject to approval by the Board. Notwithstanding anything in the Plan to the contrary, the aggregate grant date fair value for financial reporting purposes of Awards granted during a calendar year to a Non-Employee Director as compensation for his or her services as a Director, taken together with the cash fees paid during the calendar year to the Non-Employee Director as compensation for his or her services as a Director, shall not exceed (a) $350,000 in total value in the case of a Non-Employee Director other than the Chairman of the Board, and</w:t>
      </w:r>
    </w:p>
    <w:p>
      <w:pPr>
        <w:spacing w:after="0" w:line="3" w:lineRule="exact"/>
        <w:rPr>
          <w:sz w:val="20"/>
          <w:szCs w:val="20"/>
          <w:color w:val="auto"/>
        </w:rPr>
      </w:pPr>
    </w:p>
    <w:p>
      <w:pPr>
        <w:ind w:firstLine="8"/>
        <w:spacing w:after="0" w:line="260" w:lineRule="auto"/>
        <w:tabs>
          <w:tab w:leader="none" w:pos="27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in total value in the case of the Chairman of the Board. For the avoidance of doubt, Awards granted to Non-Employee Directors shall be subject to all of the other limitations set forth in the Plan.</w:t>
      </w:r>
    </w:p>
    <w:p>
      <w:pPr>
        <w:spacing w:after="0" w:line="69" w:lineRule="exact"/>
        <w:rPr>
          <w:sz w:val="20"/>
          <w:szCs w:val="20"/>
          <w:color w:val="auto"/>
        </w:rPr>
      </w:pPr>
    </w:p>
    <w:p>
      <w:pPr>
        <w:ind w:left="320" w:hanging="312"/>
        <w:spacing w:after="0"/>
        <w:tabs>
          <w:tab w:leader="none" w:pos="3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AND DELIVERY OF RESTRICTED STOCK</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40" w:hanging="644"/>
        <w:spacing w:after="0" w:line="255"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Period. </w:t>
      </w:r>
      <w:r>
        <w:rPr>
          <w:rFonts w:ascii="Times New Roman" w:cs="Times New Roman" w:eastAsia="Times New Roman" w:hAnsi="Times New Roman"/>
          <w:sz w:val="18"/>
          <w:szCs w:val="18"/>
          <w:color w:val="auto"/>
        </w:rPr>
        <w:t>At the time an award of Restricted Stock is made, the Committee shall establish a period or periods of time (each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Restricted Period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or such other restrictions on the vesting of the Restricted Stock as it shall deem appropriate or applicable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 Each award of Restricted Stock may have a different Restricted Period or Restricted Periods. The Committee may, in its sole discretion, at the time an award is made, provide for the incremental lapse of Restricted Periods with respect to a portion or portions of the Restricted Stock awarded, and for the lapse or termination of restrictions upon all or any portion of the Restricted Stock upon the satisfaction of other conditions in addition to or other than the expiration of the applicable Restricted Period. The Committee may also, in its sole discretion, shorten or terminate a Restricted Period or waive any conditions for the lapse or termination of restrictions with respect to all or any portion of the Restricted Stock.</w:t>
      </w:r>
    </w:p>
    <w:p>
      <w:pPr>
        <w:spacing w:after="0" w:line="76" w:lineRule="exact"/>
        <w:rPr>
          <w:rFonts w:ascii="Times New Roman" w:cs="Times New Roman" w:eastAsia="Times New Roman" w:hAnsi="Times New Roman"/>
          <w:sz w:val="18"/>
          <w:szCs w:val="18"/>
          <w:color w:val="auto"/>
        </w:rPr>
      </w:pPr>
    </w:p>
    <w:p>
      <w:pPr>
        <w:ind w:left="1300" w:hanging="644"/>
        <w:spacing w:after="0" w:line="252"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Rights and Privileges. </w:t>
      </w:r>
      <w:r>
        <w:rPr>
          <w:rFonts w:ascii="Times New Roman" w:cs="Times New Roman" w:eastAsia="Times New Roman" w:hAnsi="Times New Roman"/>
          <w:sz w:val="18"/>
          <w:szCs w:val="18"/>
          <w:color w:val="auto"/>
        </w:rPr>
        <w:t>At the time a grant of Restricted Stock is made to a Participant, a stock certificate representing a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Company’s common stock equal to the number of shares of such Restricted Stock shall be registered in the Participant’s name but shall be held in custody by the Company for such Participant’s account. The Participant shall generally have the rights and privileges of a stockholder as to such Restricted Stock, including, without limitation, the right to vote the Restricted Stock, except that, subject to the earlier lapse or termination of restrictions as herein provided, the following restrictions shall apply: (i) the Participant shall not be entitled to delivery of the stock certificate evidencing Restricted Stock until the expiration or termination of the Restricted Period applicable to such shares and the satisfaction of any other conditions prescribed by the Committee; (ii) none of the shares then subject to a Restricted Period shall be sold, transferred, assigned, pledged, or otherwise encumbered or disposed of during the Restricted Period applicable to such shares and until the satisfaction of any other conditions prescribed by the Committee; and (iii) all of the shares then subject to a Restricted Period shall be forfeited and all rights of the Participant to such Restricted Stock shall terminate without further obligation on the part of the Company if the Participant ceases to be an Employee, Consultant or Director of the Company or any of its subsidiaries before the expiration or termination of such Restricted Period and the satisfaction of any other conditions prescribed by the Committee applicable to such Restricted Stock. No dividends or dividend equivalents will be paid with respect to outstanding shares of Restricted Stock then subject to a Restricted Period. The Committee may provide that dividends or dividend equivalents will be accrued with respect to such shares of Restricted Stock, in which event the dividends will be subject to the vesting conditions applicable to the corresponding shares of Restricted Stock. Accordingly, such dividends will be forfeited if and to the extent such vesting conditions are not satisfied. If the Committee determines that dividends with respect to Restricted Stock will be paid in the form of additional shares of Restricted Stock, then the Committee may, in its sole discretion, cause the Company to register in the name of a Participant a stock certificate representing such shares of Restricted Stock issued as a dividend, and may cause the Company to hold such certificate in custody for the Participant’s account subject to the applicable vesting and other terms and conditions. Upon a forfeiture of any shares of Restricted Stock (including, without limitation, shares of Restricted Stock issued as dividends), such forfeited shares of Restricted Stock shall be transferred to the Company without further action by the Participant.</w:t>
      </w:r>
    </w:p>
    <w:p>
      <w:pPr>
        <w:spacing w:after="0" w:line="78" w:lineRule="exact"/>
        <w:rPr>
          <w:rFonts w:ascii="Times New Roman" w:cs="Times New Roman" w:eastAsia="Times New Roman" w:hAnsi="Times New Roman"/>
          <w:sz w:val="18"/>
          <w:szCs w:val="18"/>
          <w:color w:val="auto"/>
        </w:rPr>
      </w:pPr>
    </w:p>
    <w:p>
      <w:pPr>
        <w:ind w:left="1300" w:right="60" w:hanging="644"/>
        <w:spacing w:after="0" w:line="256" w:lineRule="auto"/>
        <w:tabs>
          <w:tab w:leader="none" w:pos="13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Expiration of Restricted Period. </w:t>
      </w:r>
      <w:r>
        <w:rPr>
          <w:rFonts w:ascii="Times New Roman" w:cs="Times New Roman" w:eastAsia="Times New Roman" w:hAnsi="Times New Roman"/>
          <w:sz w:val="18"/>
          <w:szCs w:val="18"/>
          <w:color w:val="auto"/>
        </w:rPr>
        <w:t>Upon the expiration or termination of the Restricted Period applicable to Restricted Stock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satisfaction of any other conditions prescribed by the Committee or at such earlier time as provided for herein, the restrictions applicable to the Restricted Stock to such Restricted Period shall lapse and a certificate for a number of shares of Common Stock equal to the number of shares of Restricted Stock with respect to which the restrictions have expired or terminated shall be delivered, free of all such restrictions, except any that may be imposed by law, to the Participant. The Company shall not be required to deliver any fractional share of Common Stock but shall pay to the Participant, in lieu thereof, the product of (i) the Fair Market Value per share (determined as of the date the restrictions expire or terminate) and (ii) the fraction of a share to which such Participant would otherwise be entitled.</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549" w:right="339" w:bottom="1440" w:gutter="0" w:footer="0" w:header="0"/>
        </w:sectPr>
      </w:pPr>
    </w:p>
    <w:bookmarkStart w:id="54" w:name="page55"/>
    <w:bookmarkEnd w:id="54"/>
    <w:p>
      <w:pPr>
        <w:jc w:val="both"/>
        <w:ind w:left="1292" w:right="220" w:hanging="644"/>
        <w:spacing w:after="0" w:line="268" w:lineRule="auto"/>
        <w:tabs>
          <w:tab w:leader="none" w:pos="1292"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Vesting Events for Restricted Stock. </w:t>
      </w:r>
      <w:r>
        <w:rPr>
          <w:rFonts w:ascii="Times New Roman" w:cs="Times New Roman" w:eastAsia="Times New Roman" w:hAnsi="Times New Roman"/>
          <w:sz w:val="18"/>
          <w:szCs w:val="18"/>
          <w:color w:val="auto"/>
        </w:rPr>
        <w:t>If the Employee terminates employment by reason of death, all of his or her shares of Restricted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shall become 100% vested upon the date of death. All Restricted Stock awards prior to the Effective Date are hereby amended to incorporate these terms.</w:t>
      </w:r>
    </w:p>
    <w:p>
      <w:pPr>
        <w:spacing w:after="0" w:line="62"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The Committee is authorized to grant Restricted Stock Units to eligible persons, subject to the following terms and conditions:</w:t>
      </w:r>
    </w:p>
    <w:p>
      <w:pPr>
        <w:spacing w:after="0" w:line="113" w:lineRule="exact"/>
        <w:rPr>
          <w:sz w:val="20"/>
          <w:szCs w:val="20"/>
          <w:color w:val="auto"/>
        </w:rPr>
      </w:pPr>
    </w:p>
    <w:p>
      <w:pPr>
        <w:ind w:left="1292" w:hanging="644"/>
        <w:spacing w:after="0" w:line="262" w:lineRule="auto"/>
        <w:tabs>
          <w:tab w:leader="none" w:pos="129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and Restrictions. </w:t>
      </w:r>
      <w:r>
        <w:rPr>
          <w:rFonts w:ascii="Times New Roman" w:cs="Times New Roman" w:eastAsia="Times New Roman" w:hAnsi="Times New Roman"/>
          <w:sz w:val="18"/>
          <w:szCs w:val="18"/>
          <w:color w:val="auto"/>
        </w:rPr>
        <w:t>Restricted Stock Units shall be subject to such restrictions (which may include a risk of forfeiture)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may impose, if any, which restrictions may lapse at the expiration of the deferral period or at earlier specified times (including based on achievement of performance goals and/or future service requirements), separately or in combination, in installments or otherwise, as the Committee may determine.</w:t>
      </w:r>
    </w:p>
    <w:p>
      <w:pPr>
        <w:spacing w:after="0" w:line="68" w:lineRule="exact"/>
        <w:rPr>
          <w:rFonts w:ascii="Times New Roman" w:cs="Times New Roman" w:eastAsia="Times New Roman" w:hAnsi="Times New Roman"/>
          <w:sz w:val="18"/>
          <w:szCs w:val="18"/>
          <w:color w:val="auto"/>
        </w:rPr>
      </w:pPr>
    </w:p>
    <w:p>
      <w:pPr>
        <w:ind w:left="1292" w:right="140" w:hanging="644"/>
        <w:spacing w:after="0" w:line="259" w:lineRule="auto"/>
        <w:tabs>
          <w:tab w:leader="none" w:pos="129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Settlement. </w:t>
      </w:r>
      <w:r>
        <w:rPr>
          <w:rFonts w:ascii="Times New Roman" w:cs="Times New Roman" w:eastAsia="Times New Roman" w:hAnsi="Times New Roman"/>
          <w:sz w:val="18"/>
          <w:szCs w:val="18"/>
          <w:color w:val="auto"/>
        </w:rPr>
        <w:t>Settlement of Restricted Stock Units shall occur upon expiration of the deferral period specified for such Restricted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 by the Committee (or, if permitted by the Committee, as elected by the Participant). Restricted Stock Units shall be satisfied by the delivery of (a) a number of shares of Stock equal to the number of RSUs vesting on such date, or (b) cash in an amount equal to the Fair Market Value of the specified number of shares of Stock covered by the vesting Restricted Stock Units, or a combination thereof, as determined by the Committee at the date of grant or thereafter.</w:t>
      </w:r>
    </w:p>
    <w:p>
      <w:pPr>
        <w:spacing w:after="0" w:line="71" w:lineRule="exact"/>
        <w:rPr>
          <w:rFonts w:ascii="Times New Roman" w:cs="Times New Roman" w:eastAsia="Times New Roman" w:hAnsi="Times New Roman"/>
          <w:sz w:val="18"/>
          <w:szCs w:val="18"/>
          <w:color w:val="auto"/>
        </w:rPr>
      </w:pPr>
    </w:p>
    <w:p>
      <w:pPr>
        <w:ind w:left="1292" w:right="180" w:hanging="644"/>
        <w:spacing w:after="0" w:line="254" w:lineRule="auto"/>
        <w:tabs>
          <w:tab w:leader="none" w:pos="129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Dividends on Restricted Stock Units. </w:t>
      </w:r>
      <w:r>
        <w:rPr>
          <w:rFonts w:ascii="Times New Roman" w:cs="Times New Roman" w:eastAsia="Times New Roman" w:hAnsi="Times New Roman"/>
          <w:sz w:val="18"/>
          <w:szCs w:val="18"/>
          <w:color w:val="auto"/>
        </w:rPr>
        <w:t>The Committee may, in its sole discretion and as would be set forth in the applicable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require each Restricted Stock Unit to be credited with dividends paid by the Company with respect to one share of Stock (“dividend equivalents”). Dividend equivalents shall be withheld by the Company and credited to the Participant’s account, and interest may be credited on the amount of cash dividend equivalents credited to the Participant’s account at a rate and subject to such terms as determined by the Committee in its sole discretion. Dividend equivalents credited to a Participant’s account and attributable to any particular Restricted Stock Unit (and earnings thereon, if applicable) shall be distributed in cash or, at the sole discretion of the Committee, in shares of Stock having a Fair Market Value equal to the amount of such dividend equivalents and earnings, if applicable, to the Participant upon settlement of such Restricted Stock Unit and, if such Restricted Stock is forfeited, the Participant shall have no right to such dividend equivalents.</w:t>
      </w:r>
    </w:p>
    <w:p>
      <w:pPr>
        <w:spacing w:after="0" w:line="80" w:lineRule="exact"/>
        <w:rPr>
          <w:rFonts w:ascii="Times New Roman" w:cs="Times New Roman" w:eastAsia="Times New Roman" w:hAnsi="Times New Roman"/>
          <w:sz w:val="18"/>
          <w:szCs w:val="18"/>
          <w:color w:val="auto"/>
        </w:rPr>
      </w:pPr>
    </w:p>
    <w:p>
      <w:pPr>
        <w:ind w:left="1292" w:hanging="644"/>
        <w:spacing w:after="0"/>
        <w:tabs>
          <w:tab w:leader="none" w:pos="129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 of Termination of Employment.</w:t>
      </w:r>
    </w:p>
    <w:p>
      <w:pPr>
        <w:spacing w:after="0" w:line="121" w:lineRule="exact"/>
        <w:rPr>
          <w:rFonts w:ascii="Times New Roman" w:cs="Times New Roman" w:eastAsia="Times New Roman" w:hAnsi="Times New Roman"/>
          <w:sz w:val="18"/>
          <w:szCs w:val="18"/>
          <w:color w:val="auto"/>
        </w:rPr>
      </w:pPr>
    </w:p>
    <w:p>
      <w:pPr>
        <w:ind w:left="1952" w:right="380" w:hanging="656"/>
        <w:spacing w:after="0" w:line="266" w:lineRule="auto"/>
        <w:tabs>
          <w:tab w:leader="none" w:pos="1609"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applicable Award Agreement or the Committee determines otherwise, Restricted Stock Units that have not vested, together with Dividend Equivalents, if any, credited on such Restricted Stock Units, shall be forfeited upon the Participant’s termination of employment for any reason other than death.</w:t>
      </w:r>
    </w:p>
    <w:p>
      <w:pPr>
        <w:spacing w:after="0" w:line="67" w:lineRule="exact"/>
        <w:rPr>
          <w:rFonts w:ascii="Times New Roman" w:cs="Times New Roman" w:eastAsia="Times New Roman" w:hAnsi="Times New Roman"/>
          <w:sz w:val="18"/>
          <w:szCs w:val="18"/>
          <w:color w:val="auto"/>
        </w:rPr>
      </w:pPr>
    </w:p>
    <w:p>
      <w:pPr>
        <w:ind w:left="1952" w:right="280" w:hanging="656"/>
        <w:spacing w:after="0" w:line="282" w:lineRule="auto"/>
        <w:tabs>
          <w:tab w:leader="none" w:pos="1619" w:val="left"/>
        </w:tabs>
        <w:numPr>
          <w:ilvl w:val="2"/>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Employee terminates employment by reason of death, all of his or her shares of Restricted Stock shall become 100% vested upon the date of death.</w:t>
      </w:r>
    </w:p>
    <w:p>
      <w:pPr>
        <w:spacing w:after="0" w:line="49" w:lineRule="exact"/>
        <w:rPr>
          <w:rFonts w:ascii="Times New Roman" w:cs="Times New Roman" w:eastAsia="Times New Roman" w:hAnsi="Times New Roman"/>
          <w:sz w:val="18"/>
          <w:szCs w:val="18"/>
          <w:color w:val="auto"/>
        </w:rPr>
      </w:pPr>
    </w:p>
    <w:p>
      <w:pPr>
        <w:ind w:left="392" w:hanging="392"/>
        <w:spacing w:after="0"/>
        <w:tabs>
          <w:tab w:leader="none" w:pos="39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ANNUAL INCENTIVE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hanging="644"/>
        <w:spacing w:after="0" w:line="259" w:lineRule="auto"/>
        <w:tabs>
          <w:tab w:leader="none" w:pos="949"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Annual Incentive Awards. </w:t>
      </w:r>
      <w:r>
        <w:rPr>
          <w:rFonts w:ascii="Times New Roman" w:cs="Times New Roman" w:eastAsia="Times New Roman" w:hAnsi="Times New Roman"/>
          <w:sz w:val="18"/>
          <w:szCs w:val="18"/>
          <w:color w:val="auto"/>
        </w:rPr>
        <w:t>The Committee may grant annual incentive awards of Stock or cash (each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Annual Incentive Award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to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as the Committee may from time to time recommend, in such amounts and subject to such terms and conditions as the Committee in its discretion may determine. The Committee shall establish the maximum amount of Annual Incentive Awards that may be granted for each Performance Cycle. Notwithstanding the foregoing, all Annual Incentive Awards shall be subject to the provisions of paragraphs (a) through (d) below:</w:t>
      </w:r>
    </w:p>
    <w:p>
      <w:pPr>
        <w:spacing w:after="0" w:line="75" w:lineRule="exact"/>
        <w:rPr>
          <w:rFonts w:ascii="Times New Roman" w:cs="Times New Roman" w:eastAsia="Times New Roman" w:hAnsi="Times New Roman"/>
          <w:sz w:val="18"/>
          <w:szCs w:val="18"/>
          <w:color w:val="auto"/>
        </w:rPr>
      </w:pPr>
    </w:p>
    <w:p>
      <w:pPr>
        <w:ind w:left="1952" w:right="300" w:hanging="656"/>
        <w:spacing w:after="0" w:line="282" w:lineRule="auto"/>
        <w:tabs>
          <w:tab w:leader="none" w:pos="1599"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granted in connection with a 12-month Performance Cycle, which shall be the fiscal year of the Company.</w:t>
      </w:r>
    </w:p>
    <w:p>
      <w:pPr>
        <w:spacing w:after="0" w:line="53" w:lineRule="exact"/>
        <w:rPr>
          <w:rFonts w:ascii="Times New Roman" w:cs="Times New Roman" w:eastAsia="Times New Roman" w:hAnsi="Times New Roman"/>
          <w:sz w:val="18"/>
          <w:szCs w:val="18"/>
          <w:color w:val="auto"/>
        </w:rPr>
      </w:pPr>
    </w:p>
    <w:p>
      <w:pPr>
        <w:ind w:left="1952" w:right="20" w:hanging="656"/>
        <w:spacing w:after="0" w:line="282" w:lineRule="auto"/>
        <w:tabs>
          <w:tab w:leader="none" w:pos="1619"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4.1, the Committee shall determine the Participants who shall be eligible to receive an Annual Incentive Award for such Performance Cycle.</w:t>
      </w:r>
    </w:p>
    <w:p>
      <w:pPr>
        <w:spacing w:after="0" w:line="53" w:lineRule="exact"/>
        <w:rPr>
          <w:rFonts w:ascii="Times New Roman" w:cs="Times New Roman" w:eastAsia="Times New Roman" w:hAnsi="Times New Roman"/>
          <w:sz w:val="18"/>
          <w:szCs w:val="18"/>
          <w:color w:val="auto"/>
        </w:rPr>
      </w:pPr>
    </w:p>
    <w:p>
      <w:pPr>
        <w:ind w:left="1952" w:hanging="656"/>
        <w:spacing w:after="0" w:line="266" w:lineRule="auto"/>
        <w:tabs>
          <w:tab w:leader="none" w:pos="1606"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fix and establish, in writing, (A) the Performance Measure(s) that shall apply to such Performance Cycle, (B) an objective formula for computing the amount of the Annual Incentive Awards for such Performance Cycle, where the amount shall be based upon the attainment of various Performance Goals for the applicable Performance Measure(s).</w:t>
      </w:r>
    </w:p>
    <w:p>
      <w:pPr>
        <w:spacing w:after="0" w:line="67" w:lineRule="exact"/>
        <w:rPr>
          <w:rFonts w:ascii="Times New Roman" w:cs="Times New Roman" w:eastAsia="Times New Roman" w:hAnsi="Times New Roman"/>
          <w:sz w:val="18"/>
          <w:szCs w:val="18"/>
          <w:color w:val="auto"/>
        </w:rPr>
      </w:pPr>
    </w:p>
    <w:p>
      <w:pPr>
        <w:ind w:left="1952" w:right="380" w:hanging="656"/>
        <w:spacing w:after="0" w:line="282" w:lineRule="auto"/>
        <w:tabs>
          <w:tab w:leader="none" w:pos="1609"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Awards shall be paid in the form of cash, Stock (including Restricted Stock) or any combination thereof, in the discretion of the Committee.</w:t>
      </w:r>
    </w:p>
    <w:p>
      <w:pPr>
        <w:spacing w:after="0" w:line="49" w:lineRule="exact"/>
        <w:rPr>
          <w:rFonts w:ascii="Times New Roman" w:cs="Times New Roman" w:eastAsia="Times New Roman" w:hAnsi="Times New Roman"/>
          <w:sz w:val="18"/>
          <w:szCs w:val="18"/>
          <w:color w:val="auto"/>
        </w:rPr>
      </w:pPr>
    </w:p>
    <w:p>
      <w:pPr>
        <w:ind w:left="412" w:hanging="412"/>
        <w:spacing w:after="0"/>
        <w:tabs>
          <w:tab w:leader="none" w:pos="41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PERFORMANCE-BASED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292" w:right="500" w:hanging="644"/>
        <w:spacing w:after="0" w:line="286" w:lineRule="auto"/>
        <w:tabs>
          <w:tab w:leader="none" w:pos="1292"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Performance-Based Awards</w:t>
      </w:r>
      <w:r>
        <w:rPr>
          <w:rFonts w:ascii="Times New Roman" w:cs="Times New Roman" w:eastAsia="Times New Roman" w:hAnsi="Times New Roman"/>
          <w:sz w:val="18"/>
          <w:szCs w:val="18"/>
          <w:color w:val="auto"/>
        </w:rPr>
        <w:t>. Notwithstanding anything to the contrary contained herein, the Committee may designate any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Awards available under the Plan (including but not limited to Options, Restricted</w:t>
      </w:r>
    </w:p>
    <w:p>
      <w:pPr>
        <w:spacing w:after="0" w:line="5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32"/>
          </w:cols>
          <w:pgMar w:left="328" w:top="549" w:right="339" w:bottom="1440" w:gutter="0" w:footer="0" w:header="0"/>
        </w:sectPr>
      </w:pPr>
    </w:p>
    <w:bookmarkStart w:id="55" w:name="page56"/>
    <w:bookmarkEnd w:id="55"/>
    <w:p>
      <w:pPr>
        <w:ind w:left="644"/>
        <w:spacing w:after="0" w:line="261" w:lineRule="auto"/>
        <w:rPr>
          <w:sz w:val="20"/>
          <w:szCs w:val="20"/>
          <w:color w:val="auto"/>
        </w:rPr>
      </w:pPr>
      <w:r>
        <w:rPr>
          <w:rFonts w:ascii="Times New Roman" w:cs="Times New Roman" w:eastAsia="Times New Roman" w:hAnsi="Times New Roman"/>
          <w:sz w:val="18"/>
          <w:szCs w:val="18"/>
          <w:color w:val="auto"/>
        </w:rPr>
        <w:t>Stock, Annual Incentive Awards and Discretionary Bonus Awards) as conditioned on the achievement of specified Performance Measures (each such Award a “</w:t>
      </w:r>
      <w:r>
        <w:rPr>
          <w:rFonts w:ascii="Times New Roman" w:cs="Times New Roman" w:eastAsia="Times New Roman" w:hAnsi="Times New Roman"/>
          <w:sz w:val="18"/>
          <w:szCs w:val="18"/>
          <w:b w:val="1"/>
          <w:bCs w:val="1"/>
          <w:i w:val="1"/>
          <w:iCs w:val="1"/>
          <w:color w:val="auto"/>
        </w:rPr>
        <w:t>Performance-Based Award</w:t>
      </w:r>
      <w:r>
        <w:rPr>
          <w:rFonts w:ascii="Times New Roman" w:cs="Times New Roman" w:eastAsia="Times New Roman" w:hAnsi="Times New Roman"/>
          <w:sz w:val="18"/>
          <w:szCs w:val="18"/>
          <w:color w:val="auto"/>
        </w:rPr>
        <w:t>”). The grant, exercise, vesting or settlement of Performance-Based Awards may be conditioned on the achievement of specified Performance Goals. The Performance Cycle or performance period(s) applicable to a Performance-Based Award shall be any period of time determined by the Committee</w:t>
      </w:r>
      <w:r>
        <w:rPr>
          <w:rFonts w:ascii="Times New Roman" w:cs="Times New Roman" w:eastAsia="Times New Roman" w:hAnsi="Times New Roman"/>
          <w:sz w:val="18"/>
          <w:szCs w:val="18"/>
          <w:b w:val="1"/>
          <w:bCs w:val="1"/>
          <w:color w:val="auto"/>
        </w:rPr>
        <w:t>.</w:t>
      </w:r>
    </w:p>
    <w:p>
      <w:pPr>
        <w:spacing w:after="0" w:line="68" w:lineRule="exact"/>
        <w:rPr>
          <w:sz w:val="20"/>
          <w:szCs w:val="20"/>
          <w:color w:val="auto"/>
        </w:rPr>
      </w:pPr>
    </w:p>
    <w:p>
      <w:pPr>
        <w:ind w:left="644" w:right="200" w:hanging="644"/>
        <w:spacing w:after="0" w:line="262" w:lineRule="auto"/>
        <w:tabs>
          <w:tab w:leader="none" w:pos="31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Objective Performance Goals and Performance Measures. </w:t>
      </w:r>
      <w:r>
        <w:rPr>
          <w:rFonts w:ascii="Times New Roman" w:cs="Times New Roman" w:eastAsia="Times New Roman" w:hAnsi="Times New Roman"/>
          <w:sz w:val="18"/>
          <w:szCs w:val="18"/>
          <w:color w:val="auto"/>
        </w:rPr>
        <w:t>A Performance Goal established in connection with a Performance-Based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must be based on any one or more of the following performance measures (each, a “</w:t>
      </w:r>
      <w:r>
        <w:rPr>
          <w:rFonts w:ascii="Times New Roman" w:cs="Times New Roman" w:eastAsia="Times New Roman" w:hAnsi="Times New Roman"/>
          <w:sz w:val="18"/>
          <w:szCs w:val="18"/>
          <w:b w:val="1"/>
          <w:bCs w:val="1"/>
          <w:i w:val="1"/>
          <w:iCs w:val="1"/>
          <w:color w:val="auto"/>
        </w:rPr>
        <w:t>Performance Measure</w:t>
      </w:r>
      <w:r>
        <w:rPr>
          <w:rFonts w:ascii="Times New Roman" w:cs="Times New Roman" w:eastAsia="Times New Roman" w:hAnsi="Times New Roman"/>
          <w:sz w:val="18"/>
          <w:szCs w:val="18"/>
          <w:color w:val="auto"/>
        </w:rPr>
        <w:t>”) (which may be applied to an individual, a subsidiary, a business unit or division, or the Company and any one or more of its subsidiaries as a whole, as determined by the Committee):</w:t>
      </w:r>
    </w:p>
    <w:p>
      <w:pPr>
        <w:spacing w:after="0" w:line="72"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or net income (loss) (before or after taxes, depreciation and amortization);</w:t>
      </w:r>
    </w:p>
    <w:p>
      <w:pPr>
        <w:spacing w:after="0" w:line="11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earnings;</w:t>
      </w:r>
    </w:p>
    <w:p>
      <w:pPr>
        <w:spacing w:after="0" w:line="117"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11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or revenue growth;</w:t>
      </w:r>
    </w:p>
    <w:p>
      <w:pPr>
        <w:spacing w:after="0" w:line="117"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operating income;</w:t>
      </w:r>
    </w:p>
    <w:p>
      <w:pPr>
        <w:spacing w:after="0" w:line="117"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(including, but not limited to, returns on assets, capital, invested capital, equity, sales, or revenue);</w:t>
      </w:r>
    </w:p>
    <w:p>
      <w:pPr>
        <w:spacing w:after="0" w:line="117" w:lineRule="exact"/>
        <w:rPr>
          <w:rFonts w:ascii="Times New Roman" w:cs="Times New Roman" w:eastAsia="Times New Roman" w:hAnsi="Times New Roman"/>
          <w:sz w:val="18"/>
          <w:szCs w:val="18"/>
          <w:color w:val="auto"/>
        </w:rPr>
      </w:pPr>
    </w:p>
    <w:p>
      <w:pPr>
        <w:ind w:left="1304" w:right="80" w:hanging="656"/>
        <w:spacing w:after="0" w:line="282" w:lineRule="auto"/>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(including, but not limited to, operating cash flow, free cash flow, cash flow return on equity, and cash flow return on investment (discounted or otherwise));</w:t>
      </w:r>
    </w:p>
    <w:p>
      <w:pPr>
        <w:spacing w:after="0" w:line="53"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before interest, taxes, depreciation and amortization;</w:t>
      </w:r>
    </w:p>
    <w:p>
      <w:pPr>
        <w:spacing w:after="0" w:line="117"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stockholders’ equity;</w:t>
      </w:r>
    </w:p>
    <w:p>
      <w:pPr>
        <w:spacing w:after="0" w:line="117"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or operating expenses;</w:t>
      </w:r>
    </w:p>
    <w:p>
      <w:pPr>
        <w:spacing w:after="0" w:line="11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 Company’s Stock or total return to stockholders;</w:t>
      </w:r>
    </w:p>
    <w:p>
      <w:pPr>
        <w:spacing w:after="0" w:line="117"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an investment in the Company’s Stock assuming the reinvestment of dividends;</w:t>
      </w:r>
    </w:p>
    <w:p>
      <w:pPr>
        <w:spacing w:after="0" w:line="117"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under management;</w:t>
      </w:r>
    </w:p>
    <w:p>
      <w:pPr>
        <w:spacing w:after="0" w:line="11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one or more of our investment products on an absolute basis or relative to a benchmark or peer group;</w:t>
      </w:r>
    </w:p>
    <w:p>
      <w:pPr>
        <w:spacing w:after="0" w:line="11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pre-tax income;</w:t>
      </w:r>
    </w:p>
    <w:p>
      <w:pPr>
        <w:spacing w:after="0" w:line="117" w:lineRule="exact"/>
        <w:rPr>
          <w:rFonts w:ascii="Times New Roman" w:cs="Times New Roman" w:eastAsia="Times New Roman" w:hAnsi="Times New Roman"/>
          <w:sz w:val="18"/>
          <w:szCs w:val="18"/>
          <w:color w:val="auto"/>
        </w:rPr>
      </w:pPr>
    </w:p>
    <w:p>
      <w:pPr>
        <w:ind w:left="1304" w:hanging="656"/>
        <w:spacing w:after="0"/>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targets, reductions and savings, productivity and efficiencies;</w:t>
      </w:r>
    </w:p>
    <w:p>
      <w:pPr>
        <w:spacing w:after="0" w:line="117" w:lineRule="exact"/>
        <w:rPr>
          <w:rFonts w:ascii="Times New Roman" w:cs="Times New Roman" w:eastAsia="Times New Roman" w:hAnsi="Times New Roman"/>
          <w:sz w:val="18"/>
          <w:szCs w:val="18"/>
          <w:color w:val="auto"/>
        </w:rPr>
      </w:pPr>
    </w:p>
    <w:p>
      <w:pPr>
        <w:ind w:left="1304" w:right="440" w:hanging="656"/>
        <w:spacing w:after="0" w:line="261" w:lineRule="auto"/>
        <w:tabs>
          <w:tab w:leader="none" w:pos="130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business criteria, consisting of one or more objectives based on meeting specified market penetration, geographic business expansion, customer satisfaction, employee satisfaction, human resources management, supervision of litigation, information technology and goals relating to acquisitions, divestitures, joint ventures and similar transactions and budget comparisons;</w:t>
      </w:r>
    </w:p>
    <w:p>
      <w:pPr>
        <w:spacing w:after="0" w:line="71" w:lineRule="exact"/>
        <w:rPr>
          <w:rFonts w:ascii="Times New Roman" w:cs="Times New Roman" w:eastAsia="Times New Roman" w:hAnsi="Times New Roman"/>
          <w:sz w:val="18"/>
          <w:szCs w:val="18"/>
          <w:color w:val="auto"/>
        </w:rPr>
      </w:pPr>
    </w:p>
    <w:p>
      <w:pPr>
        <w:ind w:left="1304" w:right="200" w:hanging="656"/>
        <w:spacing w:after="0" w:line="266" w:lineRule="auto"/>
        <w:tabs>
          <w:tab w:leader="none" w:pos="1291"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professional objectives, consisting of one or more objectives based on the implementation of plans and policies, the negotiation of transactions, the development of long term business goals, formation of joint ventures, research or development collaborations and the completion of other corporation transactions;</w:t>
      </w:r>
    </w:p>
    <w:p>
      <w:pPr>
        <w:spacing w:after="0" w:line="67"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criteria as determined by the Committee in its sole discretion; and/or</w:t>
      </w:r>
    </w:p>
    <w:p>
      <w:pPr>
        <w:spacing w:after="0" w:line="117" w:lineRule="exact"/>
        <w:rPr>
          <w:rFonts w:ascii="Times New Roman" w:cs="Times New Roman" w:eastAsia="Times New Roman" w:hAnsi="Times New Roman"/>
          <w:sz w:val="18"/>
          <w:szCs w:val="18"/>
          <w:color w:val="auto"/>
        </w:rPr>
      </w:pPr>
    </w:p>
    <w:p>
      <w:pPr>
        <w:ind w:left="1284" w:hanging="636"/>
        <w:spacing w:after="0"/>
        <w:tabs>
          <w:tab w:leader="none" w:pos="1284"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or all of the foregoing criteria.</w:t>
      </w:r>
    </w:p>
    <w:p>
      <w:pPr>
        <w:spacing w:after="0" w:line="117" w:lineRule="exact"/>
        <w:rPr>
          <w:sz w:val="20"/>
          <w:szCs w:val="20"/>
          <w:color w:val="auto"/>
        </w:rPr>
      </w:pPr>
    </w:p>
    <w:p>
      <w:pPr>
        <w:jc w:val="both"/>
        <w:ind w:left="644"/>
        <w:spacing w:after="0" w:line="258" w:lineRule="auto"/>
        <w:rPr>
          <w:sz w:val="20"/>
          <w:szCs w:val="20"/>
          <w:color w:val="auto"/>
        </w:rPr>
      </w:pPr>
      <w:r>
        <w:rPr>
          <w:rFonts w:ascii="Times New Roman" w:cs="Times New Roman" w:eastAsia="Times New Roman" w:hAnsi="Times New Roman"/>
          <w:sz w:val="18"/>
          <w:szCs w:val="18"/>
          <w:color w:val="auto"/>
        </w:rPr>
        <w:t>The targeted level or levels of performance with respect to such Performance Measures may be established at such levels, with such adjustments (including, as applicable, inclusion or exclusion of taxes, depreciation, amortization, compensation, start-up, non-recurring, mergers and acquisitions, lift-outs and/or other items of income or expense) and in such other terms as the Committee may determine, in its discretion, including, without limitation, in absolute terms, as a goal relative to performance in prior periods, or as a goal compared to the performance of one or more comparable companies or an index covering multiple companies.</w:t>
      </w:r>
    </w:p>
    <w:p>
      <w:pPr>
        <w:spacing w:after="0" w:line="71" w:lineRule="exact"/>
        <w:rPr>
          <w:sz w:val="20"/>
          <w:szCs w:val="20"/>
          <w:color w:val="auto"/>
        </w:rPr>
      </w:pPr>
    </w:p>
    <w:p>
      <w:pPr>
        <w:ind w:left="644" w:right="80" w:hanging="644"/>
        <w:spacing w:after="0" w:line="259" w:lineRule="auto"/>
        <w:tabs>
          <w:tab w:leader="none" w:pos="31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Calculation of Performance-Based Award. </w:t>
      </w:r>
      <w:r>
        <w:rPr>
          <w:rFonts w:ascii="Times New Roman" w:cs="Times New Roman" w:eastAsia="Times New Roman" w:hAnsi="Times New Roman"/>
          <w:sz w:val="18"/>
          <w:szCs w:val="18"/>
          <w:color w:val="auto"/>
        </w:rPr>
        <w:t>At the expiration of the applicable performance period, the Committee shall determine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to which the Performance Goals established pursuant to this Article are achieved and the extent to which each Performance-Based Award has been earned. The Committee may not exercise its discretion to increase the amount or value of an award that would otherwise be payable in accordance with the terms of a Performance-Based Award that is intended to meet the requirements for the Performance-Based Exception.</w:t>
      </w:r>
    </w:p>
    <w:p>
      <w:pPr>
        <w:spacing w:after="0" w:line="75"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84"/>
          </w:cols>
          <w:pgMar w:left="976" w:top="553" w:right="339" w:bottom="1440" w:gutter="0" w:footer="0" w:header="0"/>
        </w:sectPr>
      </w:pPr>
    </w:p>
    <w:bookmarkStart w:id="56" w:name="page57"/>
    <w:bookmarkEnd w:id="56"/>
    <w:p>
      <w:pPr>
        <w:ind w:left="420" w:hanging="412"/>
        <w:spacing w:after="0"/>
        <w:tabs>
          <w:tab w:leader="none" w:pos="4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DISCRETIONARY BONUS AWARDS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right="280" w:hanging="644"/>
        <w:spacing w:after="0" w:line="268" w:lineRule="auto"/>
        <w:tabs>
          <w:tab w:leader="none" w:pos="96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Discretionary Bonus Awards. </w:t>
      </w:r>
      <w:r>
        <w:rPr>
          <w:rFonts w:ascii="Times New Roman" w:cs="Times New Roman" w:eastAsia="Times New Roman" w:hAnsi="Times New Roman"/>
          <w:sz w:val="18"/>
          <w:szCs w:val="18"/>
          <w:color w:val="auto"/>
        </w:rPr>
        <w:t>The Committee may grant discretionary bonus awards of Stock or cash (each a “</w:t>
      </w:r>
      <w:r>
        <w:rPr>
          <w:rFonts w:ascii="Times New Roman" w:cs="Times New Roman" w:eastAsia="Times New Roman" w:hAnsi="Times New Roman"/>
          <w:sz w:val="18"/>
          <w:szCs w:val="18"/>
          <w:b w:val="1"/>
          <w:bCs w:val="1"/>
          <w:i w:val="1"/>
          <w:iCs w:val="1"/>
          <w:color w:val="auto"/>
        </w:rPr>
        <w:t>Discretionary Bonus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officers and other key Employees of either the Company or any Subsidiary, in such amounts and subject to such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as the Committee in its discretion may determine.</w:t>
      </w:r>
    </w:p>
    <w:p>
      <w:pPr>
        <w:spacing w:after="0" w:line="66" w:lineRule="exact"/>
        <w:rPr>
          <w:rFonts w:ascii="Times New Roman" w:cs="Times New Roman" w:eastAsia="Times New Roman" w:hAnsi="Times New Roman"/>
          <w:sz w:val="18"/>
          <w:szCs w:val="18"/>
          <w:color w:val="auto"/>
        </w:rPr>
      </w:pPr>
    </w:p>
    <w:p>
      <w:pPr>
        <w:ind w:left="1300" w:right="180" w:hanging="644"/>
        <w:spacing w:after="0" w:line="282" w:lineRule="auto"/>
        <w:tabs>
          <w:tab w:leader="none" w:pos="964"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grant Discretionary Bonus Awards to eligible Participants in such amounts as the Committee may determine, subject to the limitations set forth in Section 4.1.</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67"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Discretionary Bonus Awards shall be paid in the form of cash, Stock (including Restricted Stock) or any combination thereof, in the discretion of the Committee.</w:t>
      </w:r>
    </w:p>
    <w:p>
      <w:pPr>
        <w:spacing w:after="0" w:line="4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STOCK-BASED AWARDS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Committee is authorized, subject to limitations under applicable law, to grant to eligible persons such other Awards that may be denominated or payable in, valued in whole or in part by reference to, or otherwise based on, or related to, shares of Stock, as deemed by the Committee to be consistent with the purposes of this Plan, including without limitation purchase rights for shares of Stock, Awards with value and payment contingent upon performance of the Company or any other factors designated by the Committee, and Awards valued by reference to the book value of a share of Stock. The Committee shall determine the terms and conditions of such Other Stock-Based Awards. Stock delivered pursuant to an Other-Stock Based Award in the nature of a purchase right granted under this Section 14 shall be purchased for such consideration, paid for at such times, by such methods, and in such forms, including, without limitation, cash, Stock, other Awards, or other property, as the Committee shall determine.</w:t>
      </w:r>
    </w:p>
    <w:p>
      <w:pPr>
        <w:spacing w:after="0" w:line="77" w:lineRule="exact"/>
        <w:rPr>
          <w:sz w:val="20"/>
          <w:szCs w:val="20"/>
          <w:color w:val="auto"/>
        </w:rPr>
      </w:pPr>
    </w:p>
    <w:p>
      <w:pPr>
        <w:ind w:left="420" w:hanging="412"/>
        <w:spacing w:after="0"/>
        <w:tabs>
          <w:tab w:leader="none" w:pos="4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VESTING LIMITATIONS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other provision of the Plan to the contrary, but subject to Section 4.3, Awards granted under the Plan shall vest no earlier than the first anniversary of the date the Award is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Awards that result in the issuance of an aggregate of up to 5% of the shares of Stock available pursuant to Section 4.1 may be granted to any one or more Participants without respect to such minimum vesting provisions. Nothing in this Section 15 shall preclude the Committee from providing in an Award Agreement that all or a portion of the Award shall vest, or exercising its discretion to cause all or a portion of an Award to become vested, upon a Participant’s death or Disability, or, subject to Section 17.2, in connection with the consummation of a Change in Control.</w:t>
      </w:r>
    </w:p>
    <w:p>
      <w:pPr>
        <w:spacing w:after="0" w:line="75" w:lineRule="exact"/>
        <w:rPr>
          <w:sz w:val="20"/>
          <w:szCs w:val="20"/>
          <w:color w:val="auto"/>
        </w:rPr>
      </w:pPr>
    </w:p>
    <w:p>
      <w:pPr>
        <w:ind w:left="420" w:hanging="412"/>
        <w:spacing w:after="0"/>
        <w:tabs>
          <w:tab w:leader="none" w:pos="4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TRANSFERABILITY OF AWARDS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left="1300" w:right="140" w:hanging="644"/>
        <w:spacing w:after="0" w:line="266"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each Option and SAR shall be exercisable only by the Participant during the Participant’s lifetime, or by the Person to whom the Participant’s rights shall pass by will or the laws of descent and distribution. Notwithstanding the foregoing, an ISO shall not be transferable other than by will or the laws of descent and distribution.</w:t>
      </w:r>
    </w:p>
    <w:p>
      <w:pPr>
        <w:spacing w:after="0" w:line="67" w:lineRule="exact"/>
        <w:rPr>
          <w:rFonts w:ascii="Times New Roman" w:cs="Times New Roman" w:eastAsia="Times New Roman" w:hAnsi="Times New Roman"/>
          <w:sz w:val="18"/>
          <w:szCs w:val="18"/>
          <w:color w:val="auto"/>
        </w:rPr>
      </w:pPr>
    </w:p>
    <w:p>
      <w:pPr>
        <w:ind w:left="1300" w:right="240" w:hanging="644"/>
        <w:spacing w:after="0" w:line="266"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16.3 below, no Award and no right under any such Award may be assigned, alienated, pledged, attached, sold or otherwise transferred or encumbered by a Participant and any such purported assignment, alienation, pledge, attachment, sale, transfer or encumbrance shall be void and unenforceable against the Company or any Subsidiary.</w:t>
      </w:r>
    </w:p>
    <w:p>
      <w:pPr>
        <w:spacing w:after="0" w:line="67" w:lineRule="exact"/>
        <w:rPr>
          <w:rFonts w:ascii="Times New Roman" w:cs="Times New Roman" w:eastAsia="Times New Roman" w:hAnsi="Times New Roman"/>
          <w:sz w:val="18"/>
          <w:szCs w:val="18"/>
          <w:color w:val="auto"/>
        </w:rPr>
      </w:pPr>
    </w:p>
    <w:p>
      <w:pPr>
        <w:ind w:left="1300" w:right="640" w:hanging="644"/>
        <w:spacing w:after="0" w:line="282" w:lineRule="auto"/>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specifically provided by the Committee, and on such terms and conditions as the Committee may from time to time establish, an Award may be transferred by a Participant without consideration to one or more Permitted Transferees.</w:t>
      </w:r>
    </w:p>
    <w:p>
      <w:pPr>
        <w:spacing w:after="0" w:line="49"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 IN CONTROL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1300" w:hanging="644"/>
        <w:spacing w:after="0"/>
        <w:tabs>
          <w:tab w:leader="none" w:pos="13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Ownership Change Event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shall be deemed to have occurred if any of the following occurs with respect to the Company:</w:t>
      </w:r>
    </w:p>
    <w:p>
      <w:pPr>
        <w:spacing w:after="0" w:line="31" w:lineRule="exact"/>
        <w:rPr>
          <w:rFonts w:ascii="Times New Roman" w:cs="Times New Roman" w:eastAsia="Times New Roman" w:hAnsi="Times New Roman"/>
          <w:sz w:val="18"/>
          <w:szCs w:val="18"/>
          <w:color w:val="auto"/>
        </w:rPr>
      </w:pPr>
    </w:p>
    <w:p>
      <w:pPr>
        <w:ind w:left="19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direct or indirect sale or exchange in a single or series of related transactions by the stockholders of the Company of more than fifty percent (50%) of the voting stock of the Company; (ii) a merger or consolidation in which the Company is a party; (iii) the sale, exchange, or transfer of all or substantially all of the assets of the Company; or (iv) a liquidation or dissolution of the Company.</w:t>
      </w:r>
    </w:p>
    <w:p>
      <w:pPr>
        <w:spacing w:after="0" w:line="76" w:lineRule="exact"/>
        <w:rPr>
          <w:rFonts w:ascii="Times New Roman" w:cs="Times New Roman" w:eastAsia="Times New Roman" w:hAnsi="Times New Roman"/>
          <w:sz w:val="18"/>
          <w:szCs w:val="18"/>
          <w:color w:val="auto"/>
        </w:rPr>
      </w:pPr>
    </w:p>
    <w:p>
      <w:pPr>
        <w:ind w:left="1960" w:right="20" w:hanging="656"/>
        <w:spacing w:after="0" w:line="256" w:lineRule="auto"/>
        <w:tabs>
          <w:tab w:leader="none" w:pos="1960" w:val="left"/>
        </w:tabs>
        <w:numPr>
          <w:ilvl w:val="2"/>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mean (i) a merger or consolidation of the Company with or into another corporation in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shall not be the surviving corporation (other than a merger undertaken solely in order to reincorporate in another state) (for purposes hereof, the Company shall not be deemed the surviving corporation in any such transaction if, as the result thereof, it becomes a wholly-owned subsidiary of another corporation), (ii) a dissolution of the Company, (iii) a transfer of all or substantially all of the assets of the Company in one transaction or a series of related transactions to one or more other persons or entities, (iv) a transaction or series of transactions that results in any entity, “Person” or “Group” (as defined below), becoming the</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549" w:right="339" w:bottom="1440" w:gutter="0" w:footer="0" w:header="0"/>
        </w:sectPr>
      </w:pPr>
    </w:p>
    <w:bookmarkStart w:id="57" w:name="page58"/>
    <w:bookmarkEnd w:id="57"/>
    <w:p>
      <w:pPr>
        <w:ind w:left="1960"/>
        <w:spacing w:after="0" w:line="253" w:lineRule="auto"/>
        <w:rPr>
          <w:sz w:val="20"/>
          <w:szCs w:val="20"/>
          <w:color w:val="auto"/>
        </w:rPr>
      </w:pPr>
      <w:r>
        <w:rPr>
          <w:rFonts w:ascii="Times New Roman" w:cs="Times New Roman" w:eastAsia="Times New Roman" w:hAnsi="Times New Roman"/>
          <w:sz w:val="18"/>
          <w:szCs w:val="18"/>
          <w:color w:val="auto"/>
        </w:rPr>
        <w:t xml:space="preserve">beneficial owner, directly or indirectly, of securities of the Company representing more than 50% of the combined voting power of the Company’s then outstanding securities, or (v) during any period of two (2) consecutive years commencing on or after January 1, 2005, individuals who, at the beginning of the period constituted the Company’s Board of Directors cease for any reason to constitute at least a majority, unless the election of each director who was not a director at the beginning of the period has been approved in advance by directors representing at least two-thirds (2/3) of the directors then in office who were directors at the beginning of the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“Change in Control” shall not be deemed to have occurred if the ownership of 50% or more of the combined voting power of the surviving corporation, asset transferee or Company (as the case may be), after giving effect to the transaction or series of transactions, is directly or indirectly held by (A) a trustee or other fiduciary under an employee benefit plan maintained by the Company, (B) one or more of the “executive officers” of the Company that held such positions prior to the transaction or series of transactions, or any entity, Person or Group under their control. As used herein, “Person” and “Group” shall have the meanings set forth in Sections 13(d)(3) and/or 14(d)(2) of the Securities Exchange Act of 1934, as amended, and “executive officer” shall have the meaning set forth in Rule 3b-7 promulgated under such Act .</w:t>
      </w:r>
    </w:p>
    <w:p>
      <w:pPr>
        <w:spacing w:after="0" w:line="75" w:lineRule="exact"/>
        <w:rPr>
          <w:sz w:val="20"/>
          <w:szCs w:val="20"/>
          <w:color w:val="auto"/>
        </w:rPr>
      </w:pPr>
    </w:p>
    <w:p>
      <w:pPr>
        <w:ind w:left="1300" w:hanging="644"/>
        <w:spacing w:after="0" w:line="252" w:lineRule="auto"/>
        <w:tabs>
          <w:tab w:leader="none" w:pos="967"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of Change in Control on Awards. </w:t>
      </w:r>
      <w:r>
        <w:rPr>
          <w:rFonts w:ascii="Times New Roman" w:cs="Times New Roman" w:eastAsia="Times New Roman" w:hAnsi="Times New Roman"/>
          <w:sz w:val="18"/>
          <w:szCs w:val="18"/>
          <w:color w:val="auto"/>
        </w:rPr>
        <w:t>Upon a Change in Control, each outstanding Award shall become 100% vested (with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conditions imposed with respect to such Award deemed to be achieved at “target” performance levels) and exercisable as of the date ten (10) days prior to the date of the Change in Control, provided that the Participant’s Service has not terminated prior to such date. The exercise or vesting of any Award that was permissible solely by reason of this Section 17.2 shall be conditioned upon the consummation of the Change in Control. Any Option or SAR which is neither assumed or substituted for by the surviving, continuing, successor, or purchasing corporation of Parent thereof, as the case may be (the “</w:t>
      </w:r>
      <w:r>
        <w:rPr>
          <w:rFonts w:ascii="Times New Roman" w:cs="Times New Roman" w:eastAsia="Times New Roman" w:hAnsi="Times New Roman"/>
          <w:sz w:val="18"/>
          <w:szCs w:val="18"/>
          <w:b w:val="1"/>
          <w:bCs w:val="1"/>
          <w:i w:val="1"/>
          <w:iCs w:val="1"/>
          <w:color w:val="auto"/>
        </w:rPr>
        <w:t>Acquiring Corporation</w:t>
      </w:r>
      <w:r>
        <w:rPr>
          <w:rFonts w:ascii="Times New Roman" w:cs="Times New Roman" w:eastAsia="Times New Roman" w:hAnsi="Times New Roman"/>
          <w:sz w:val="18"/>
          <w:szCs w:val="18"/>
          <w:color w:val="auto"/>
        </w:rPr>
        <w:t xml:space="preserve">”) in connection with the Change in Control nor exercised as of the date of the Change in Control shall terminate and cease to be outstanding effective as of the date of the Change in Control; except as would otherwise result in adverse tax consequences under Section 409A of the Code;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Committee may, in its discretion, provide that any Option or SAR shall, immediately prior to the occurrence of a Change in Control, be cancelled in exchange for a payment in cash or securities in an amount equal to (a) the excess of the consideration paid per share of Stock in the Change in Control over the exercise price or grant price per share of Stock subject to the Option or SAR, </w:t>
      </w:r>
      <w:r>
        <w:rPr>
          <w:rFonts w:ascii="Times New Roman" w:cs="Times New Roman" w:eastAsia="Times New Roman" w:hAnsi="Times New Roman"/>
          <w:sz w:val="18"/>
          <w:szCs w:val="18"/>
          <w:i w:val="1"/>
          <w:iCs w:val="1"/>
          <w:color w:val="auto"/>
        </w:rPr>
        <w:t>multiplied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by </w:t>
      </w:r>
      <w:r>
        <w:rPr>
          <w:rFonts w:ascii="Times New Roman" w:cs="Times New Roman" w:eastAsia="Times New Roman" w:hAnsi="Times New Roman"/>
          <w:sz w:val="18"/>
          <w:szCs w:val="18"/>
          <w:color w:val="auto"/>
        </w:rPr>
        <w:t>(b) the number of shares of Stock subject to the Option or SAR. Notwithstanding the foregoing, shares acquired pursuant to an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to the Change in Control and any consideration received pursuant to the Change in Control with respect to such shares shall continue to be subject to all applicable provisions of the applicable Award Agreement, except as otherwise provided therein. Furthermore, notwithstanding the foregoing, if the Change in Control results from an Ownership Change Event described in Section 17.1(a)(i) and the Company is the surviving or continuing corporation and immediately after such Change in Control less than fifty percent (50%) of the total combined voting power of its voting stock is held by another corporation or by other corporations that are members of an affiliated group within the meaning of Section 1504(a) of the Code without regard to the provisions of Section 1504(b) of the Code, the outstanding Awards shall not terminate unless the Committee otherwise provides in its discretion. For the avoidance of doubt, all Restricted Stock awards prior to the Effective Date are hereby amended to incorporate these terms.</w:t>
      </w:r>
    </w:p>
    <w:p>
      <w:pPr>
        <w:spacing w:after="0" w:line="8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Company or any Subsidiary, as appropriate, shall have the authority and the right to deduct or withhold, or require a Participant to remit to the Company or Subsidiary, an amount sufficient to satisfy U.S. federal, state, and local taxes and taxes imposed by jurisdictions outside of the United States (including income tax, social insurance contributions, payment on account and any other taxes that may be due) that the Company or a Subsidiary determines are required to be withheld with respect to any taxable event concerning a Participant arising as a result of this Plan or to take such other action as may be necessary in the opinion of the Company or a Subsidiary, as appropriate, to satisfy withholding obligations for the payment of taxes. Without limiting the foregoing, the Company or a Subsidiary shall have the right, but not the obligation, to deduct from the shares of Stock issuable upon the grant, vesting or exercise of an Award, or to accept from the Participant the tender of, a number of whole shares of Stock having a Fair Market Value, as determined by the Company, equal to all or any part of the federal, state, local and foreign taxes, if any, required by law to be withheld with respect to an Award. Alternatively or in addition, in its discretion, the Company or a Subsidiary shall have the right to require the Participant, through payroll withholding, cash payment or otherwise, including, with respect to an Option, by means of a Cashless Exercise, to make adequate provision for any such tax withholding obligations of the Company or a Subsidiary arising in connection with an Award. The amount of tax required to be withheld may be determined using rates of up to, but not exceeding, the maximum federal, state, local and/or foreign statutory tax rates applicable in a particular jurisdiction on the date that the amount of tax to be withheld is to be determined. No shares of Stock shall be delivered hereunder to any Participant or other person until the Participant or such</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553" w:right="339" w:bottom="1440" w:gutter="0" w:footer="0" w:header="0"/>
        </w:sectPr>
      </w:pPr>
    </w:p>
    <w:bookmarkStart w:id="58" w:name="page59"/>
    <w:bookmarkEnd w:id="58"/>
    <w:p>
      <w:pPr>
        <w:spacing w:after="0" w:line="282" w:lineRule="auto"/>
        <w:rPr>
          <w:sz w:val="20"/>
          <w:szCs w:val="20"/>
          <w:color w:val="auto"/>
        </w:rPr>
      </w:pPr>
      <w:r>
        <w:rPr>
          <w:rFonts w:ascii="Times New Roman" w:cs="Times New Roman" w:eastAsia="Times New Roman" w:hAnsi="Times New Roman"/>
          <w:sz w:val="18"/>
          <w:szCs w:val="18"/>
          <w:color w:val="auto"/>
        </w:rPr>
        <w:t>other person has made arrangements acceptable to the Committee for the satisfaction of these tax obligations with respect to any taxable event concerning the Participant or such other person arising as a result of Awards made under this Plan.</w:t>
      </w:r>
    </w:p>
    <w:p>
      <w:pPr>
        <w:spacing w:after="0" w:line="50" w:lineRule="exact"/>
        <w:rPr>
          <w:sz w:val="20"/>
          <w:szCs w:val="20"/>
          <w:color w:val="auto"/>
        </w:rPr>
      </w:pPr>
    </w:p>
    <w:p>
      <w:pPr>
        <w:ind w:left="420" w:hanging="412"/>
        <w:spacing w:after="0"/>
        <w:tabs>
          <w:tab w:leader="none" w:pos="4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 OF INFORMATION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Participant shall be given access to information concerning the Company equivalent to that information generally made available to the Company’s common stockholders.</w:t>
      </w:r>
    </w:p>
    <w:p>
      <w:pPr>
        <w:spacing w:after="0" w:line="50" w:lineRule="exact"/>
        <w:rPr>
          <w:sz w:val="20"/>
          <w:szCs w:val="20"/>
          <w:color w:val="auto"/>
        </w:rPr>
      </w:pPr>
    </w:p>
    <w:p>
      <w:pPr>
        <w:ind w:left="420" w:hanging="412"/>
        <w:spacing w:after="0"/>
        <w:tabs>
          <w:tab w:leader="none" w:pos="4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SECURITIES LAW</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grant of an Award and the issuance of shares of Stock upon exercise of an Award, if applicable, shall be subject to compliance with all applicable requirements of federal, state and foreign law with respect to such securities. An Award may not be exercised for shares of Stock if the issuance of such shares would constitute a violation of any applicable federal, state or foreign securities laws or other law or regulations or the requirements of any stock exchange or market system upon which the Stock may then be listed. In addition, no Award may be exercised for shares of Stock unless (a) a registration statement under the Securities Act shall at the time of exercise of the Award be in effect with respect to the shares of Stock issuable upon exercise of the Award or (b) in the opinion of legal counsel to the Company, the shares of Stock issuable upon exercise of the Award may be issued in accordance with the terms of an applicable exemption from the registration requirements of the Securities Act. The inability of the Company to obtain from any regulatory body having jurisdiction the authority, if any, deemed by the Company’s legal counsel to be necessary to the lawful issuance and sale of any shares of Stock hereunder shall relieve the Company of any liability in respect of the failure to issue or sell such shares of Stock as to which such requisite authority shall not have been obtained. As a condition to the exercise of any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78" w:lineRule="exact"/>
        <w:rPr>
          <w:sz w:val="20"/>
          <w:szCs w:val="20"/>
          <w:color w:val="auto"/>
        </w:rPr>
      </w:pPr>
    </w:p>
    <w:p>
      <w:pPr>
        <w:ind w:left="420" w:hanging="412"/>
        <w:spacing w:after="0"/>
        <w:tabs>
          <w:tab w:leader="none" w:pos="4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OR AMENDMENT OF PLAN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Board may terminate or amend the Plan at any time. However, subject to changes in applicable law, regulations or rules that would permit otherwise, without the approval of the Company’s stockholders, there shall be (a) no increase in the maximum aggregate number of shares of Stock that may be issued under the Plan (except by operation of the provisions of Section 4.3), (b) no change in the class of persons eligible to receive Incentive Stock Options, and (c) no other amendment of the Plan that would require approval of the Company’s stockholders under any applicable law, regulation or rule. No termination or amendment of the Plan shall affect any then outstanding Award unless expressly provided by the Board. In any event, no termination or amendment of the Plan may adversely affect any then outstanding Award without the consent of the Participant, unless such termination or amendment is required to enable an Option designated as an Incentive Stock Option to qualify as an Incentive Stock Option or is necessary to comply with any applicable law, regulation or rule.</w:t>
      </w:r>
    </w:p>
    <w:p>
      <w:pPr>
        <w:spacing w:after="0" w:line="80" w:lineRule="exact"/>
        <w:rPr>
          <w:sz w:val="20"/>
          <w:szCs w:val="20"/>
          <w:color w:val="auto"/>
        </w:rPr>
      </w:pPr>
    </w:p>
    <w:p>
      <w:pPr>
        <w:ind w:left="420" w:hanging="412"/>
        <w:spacing w:after="0"/>
        <w:tabs>
          <w:tab w:leader="none" w:pos="42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STOCKHOLDER APPROVAL</w:t>
      </w:r>
      <w:r>
        <w:rPr>
          <w:rFonts w:ascii="Times New Roman" w:cs="Times New Roman" w:eastAsia="Times New Roman" w:hAnsi="Times New Roman"/>
          <w:sz w:val="18"/>
          <w:szCs w:val="18"/>
          <w:b w:val="1"/>
          <w:bCs w:val="1"/>
          <w:color w:val="auto"/>
        </w:rPr>
        <w:t>.</w:t>
      </w:r>
    </w:p>
    <w:p>
      <w:pPr>
        <w:spacing w:after="0" w:line="117"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Any increase in the maximum aggregate number of shares of Stock issuable under the Plan as provided in Section 4.1 (the “</w:t>
      </w: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color w:val="auto"/>
        </w:rPr>
        <w:t>”) shall be approved by the stockholders of the Company within twelve (12) months of the date of adoption thereof by the Board. Awards granted in excess of the Authorized Shares previously approved by the stockholders shall become exercisable no earlier than the date of stockholder approval of such increase in the Authorized Shares.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553" w:right="3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396" w:lineRule="auto"/>
        <w:rPr>
          <w:sz w:val="20"/>
          <w:szCs w:val="20"/>
          <w:color w:val="auto"/>
        </w:rPr>
      </w:pPr>
      <w:r>
        <w:rPr>
          <w:rFonts w:ascii="Times New Roman" w:cs="Times New Roman" w:eastAsia="Times New Roman" w:hAnsi="Times New Roman"/>
          <w:sz w:val="18"/>
          <w:szCs w:val="18"/>
          <w:color w:val="auto"/>
        </w:rPr>
        <w:t>February 1, 2002 February 8, 2002 May 21, 2002 May 24, 2002 July 1, 2002 February 8, 2005 February 23,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11741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-297180</wp:posOffset>
            </wp:positionV>
            <wp:extent cx="11741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-511175</wp:posOffset>
            </wp:positionV>
            <wp:extent cx="11741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-725805</wp:posOffset>
            </wp:positionV>
            <wp:extent cx="11741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-939800</wp:posOffset>
            </wp:positionV>
            <wp:extent cx="11741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-1154430</wp:posOffset>
            </wp:positionV>
            <wp:extent cx="11741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-1368425</wp:posOffset>
            </wp:positionV>
            <wp:extent cx="11741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23,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80"/>
        <w:spacing w:after="0" w:line="423" w:lineRule="auto"/>
        <w:rPr>
          <w:sz w:val="20"/>
          <w:szCs w:val="20"/>
          <w:color w:val="auto"/>
        </w:rPr>
      </w:pPr>
      <w:r>
        <w:rPr>
          <w:rFonts w:ascii="Times New Roman" w:cs="Times New Roman" w:eastAsia="Times New Roman" w:hAnsi="Times New Roman"/>
          <w:sz w:val="18"/>
          <w:szCs w:val="18"/>
          <w:color w:val="auto"/>
        </w:rPr>
        <w:t>April 27, 2016 March 10,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11741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74115"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-313690</wp:posOffset>
            </wp:positionV>
            <wp:extent cx="1174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174115"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11741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174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960"/>
        <w:spacing w:after="0"/>
        <w:rPr>
          <w:sz w:val="20"/>
          <w:szCs w:val="20"/>
          <w:color w:val="auto"/>
        </w:rPr>
      </w:pPr>
      <w:r>
        <w:rPr>
          <w:rFonts w:ascii="Times New Roman" w:cs="Times New Roman" w:eastAsia="Times New Roman" w:hAnsi="Times New Roman"/>
          <w:sz w:val="18"/>
          <w:szCs w:val="18"/>
          <w:b w:val="1"/>
          <w:bCs w:val="1"/>
          <w:u w:val="single" w:color="auto"/>
          <w:color w:val="auto"/>
        </w:rPr>
        <w:t>PLAN HISTORY</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Plan, with an initial reserve of 948.35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Stockholders approve amended Plan, with a reserve of 948,100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adopts amended Plan, including discretionary bonus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Second Amended and Restated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Third Amended and Restated Plan, increasing the reserve by 1,000,000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right="600"/>
        <w:spacing w:after="0" w:line="237" w:lineRule="auto"/>
        <w:rPr>
          <w:sz w:val="20"/>
          <w:szCs w:val="20"/>
          <w:color w:val="auto"/>
        </w:rPr>
      </w:pPr>
      <w:r>
        <w:rPr>
          <w:rFonts w:ascii="Times New Roman" w:cs="Times New Roman" w:eastAsia="Times New Roman" w:hAnsi="Times New Roman"/>
          <w:sz w:val="18"/>
          <w:szCs w:val="18"/>
          <w:color w:val="auto"/>
        </w:rPr>
        <w:t>Compensation Committee amends the Third Amended and Restated Plan, increasing the reserve by 700,000 shares and providing for performance-based awards, which was approved by stockholders at the 2009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635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9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Board amends the Plan to allow for Compensation Committee discretion with regard to the payment of dividends on restricted stock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635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8"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8"/>
          <w:szCs w:val="18"/>
          <w:color w:val="auto"/>
        </w:rPr>
        <w:t>Compensation Committee amends Third Amended and Restated Plan, increasing the reserve by 750,000 shares. The Plan was also amended to clarify the Committee’s authority to prescribe adjustments to performance measures set forth in Section 12.2</w:t>
      </w:r>
    </w:p>
    <w:p>
      <w:pPr>
        <w:spacing w:after="0" w:line="2" w:lineRule="exact"/>
        <w:rPr>
          <w:sz w:val="20"/>
          <w:szCs w:val="20"/>
          <w:color w:val="auto"/>
        </w:rPr>
      </w:pPr>
    </w:p>
    <w:p>
      <w:pPr>
        <w:ind w:right="280"/>
        <w:spacing w:after="0" w:line="226" w:lineRule="auto"/>
        <w:rPr>
          <w:sz w:val="20"/>
          <w:szCs w:val="20"/>
          <w:color w:val="auto"/>
        </w:rPr>
      </w:pPr>
      <w:r>
        <w:rPr>
          <w:rFonts w:ascii="Times New Roman" w:cs="Times New Roman" w:eastAsia="Times New Roman" w:hAnsi="Times New Roman"/>
          <w:sz w:val="18"/>
          <w:szCs w:val="18"/>
          <w:color w:val="auto"/>
        </w:rPr>
        <w:t>of the Plan, used to set performance goals for incentive awards that are intended to be exempt from the deduction limitation provisions of Section 162(m) of the Internal Revenue Code of 1986.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58635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amends Third Amended and Restated Plan, increasing the reserve by 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right="400"/>
        <w:spacing w:after="0" w:line="222" w:lineRule="auto"/>
        <w:rPr>
          <w:sz w:val="20"/>
          <w:szCs w:val="20"/>
          <w:color w:val="auto"/>
        </w:rPr>
      </w:pPr>
      <w:r>
        <w:rPr>
          <w:rFonts w:ascii="Times New Roman" w:cs="Times New Roman" w:eastAsia="Times New Roman" w:hAnsi="Times New Roman"/>
          <w:sz w:val="18"/>
          <w:szCs w:val="18"/>
          <w:color w:val="auto"/>
        </w:rPr>
        <w:t>The material terms of the Plan were amended to expand performance measures to be established by the Board or the Compensation Committee with respect to annual incentive awards or performance-based awards. The Fourth Amendment</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permits the Board or the Compensation Committee to adjust performance measures in a manner that complies with Treasury Regulations governing modifications to performance measures under Section 162(m) of the Internal Revenue Code. Under the Fourth Amendment, the Board or Compensation Committee may designate any awards under the Plan as performance-based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awards. The Fourth Amendment restricts the number of shares of the Company’s common stock that can be settled, or cash that can be paid, for a performance-based award to any Plan participant in a single calendar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58635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Fourth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1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Compensation Committee adopts Fifth Amended and Restated Plan, increasing the reserve by 200,000 shares and prohibiting accrual and payment of dividends on option awards granted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635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98"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7"/>
          <w:szCs w:val="17"/>
          <w:color w:val="auto"/>
        </w:rPr>
        <w:t>Compensation Committee adopts Sixth Amended and Restated Plan, increasing the reserve by 200,000 shares. The Plan was amended to (a) include Stock Appreciation Rights, Restricted Stock Units, and Other Stock-Based Awards as awards available</w:t>
      </w:r>
    </w:p>
    <w:p>
      <w:pPr>
        <w:ind w:right="20"/>
        <w:spacing w:after="0" w:line="226" w:lineRule="auto"/>
        <w:rPr>
          <w:sz w:val="20"/>
          <w:szCs w:val="20"/>
          <w:color w:val="auto"/>
        </w:rPr>
      </w:pPr>
      <w:r>
        <w:rPr>
          <w:rFonts w:ascii="Times New Roman" w:cs="Times New Roman" w:eastAsia="Times New Roman" w:hAnsi="Times New Roman"/>
          <w:sz w:val="18"/>
          <w:szCs w:val="18"/>
          <w:color w:val="auto"/>
        </w:rPr>
        <w:t>for issuance under the Plan, (b) conform the Plan to changes made to Section 162(m) of the Code by the Tax Cuts and Jobs Act of 2017, and (c) to make certain other clarifying and administrative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0</wp:posOffset>
            </wp:positionV>
            <wp:extent cx="586359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Seventh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adopts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58635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165" w:lineRule="exact"/>
        <w:rPr>
          <w:sz w:val="20"/>
          <w:szCs w:val="20"/>
          <w:color w:val="auto"/>
        </w:rPr>
      </w:pPr>
    </w:p>
    <w:p>
      <w:pPr>
        <w:ind w:right="540"/>
        <w:spacing w:after="0" w:line="237" w:lineRule="auto"/>
        <w:rPr>
          <w:sz w:val="20"/>
          <w:szCs w:val="20"/>
          <w:color w:val="auto"/>
        </w:rPr>
      </w:pPr>
      <w:r>
        <w:rPr>
          <w:rFonts w:ascii="Times New Roman" w:cs="Times New Roman" w:eastAsia="Times New Roman" w:hAnsi="Times New Roman"/>
          <w:sz w:val="18"/>
          <w:szCs w:val="18"/>
          <w:color w:val="auto"/>
        </w:rPr>
        <w:t>Compensation Committee adopts First Amendment to the Eighth Amended and Restated Plan, increasing the reserve by 250,000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6359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84" w:lineRule="exact"/>
        <w:rPr>
          <w:sz w:val="20"/>
          <w:szCs w:val="20"/>
          <w:color w:val="auto"/>
        </w:rPr>
      </w:pPr>
    </w:p>
    <w:p>
      <w:pPr>
        <w:ind w:right="20"/>
        <w:spacing w:after="0" w:line="237" w:lineRule="auto"/>
        <w:rPr>
          <w:sz w:val="20"/>
          <w:szCs w:val="20"/>
          <w:color w:val="auto"/>
        </w:rPr>
      </w:pPr>
      <w:r>
        <w:rPr>
          <w:rFonts w:ascii="Times New Roman" w:cs="Times New Roman" w:eastAsia="Times New Roman" w:hAnsi="Times New Roman"/>
          <w:sz w:val="18"/>
          <w:szCs w:val="18"/>
          <w:color w:val="auto"/>
        </w:rPr>
        <w:t>Compensation and Human Capital Committee adopts the Ninth Amended and Restated Plan, increasing the reserve by 350,000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9525</wp:posOffset>
            </wp:positionV>
            <wp:extent cx="586359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4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2">
            <w:col w:w="1340" w:space="620"/>
            <w:col w:w="9180"/>
          </w:cols>
          <w:pgMar w:left="340" w:top="441" w:right="41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019"/>
          </w:cols>
          <w:pgMar w:left="1440" w:top="1228" w:right="1440" w:bottom="1440" w:gutter="0" w:footer="0" w:header="0"/>
        </w:sectPr>
      </w:pPr>
    </w:p>
    <w:bookmarkStart w:id="61" w:name="page62"/>
    <w:bookmarkEnd w:id="61"/>
    <w:p>
      <w:pPr>
        <w:jc w:val="right"/>
        <w:spacing w:after="0"/>
        <w:rPr>
          <w:sz w:val="20"/>
          <w:szCs w:val="20"/>
          <w:color w:val="auto"/>
        </w:rPr>
      </w:pPr>
      <w:r>
        <w:rPr>
          <w:rFonts w:ascii="Wingdings" w:cs="Wingdings" w:eastAsia="Wingdings" w:hAnsi="Wingdings"/>
          <w:sz w:val="18"/>
          <w:szCs w:val="18"/>
          <w:b w:val="1"/>
          <w:bCs w:val="1"/>
          <w:color w:val="auto"/>
        </w:rPr>
        <w:t>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WESTWOOD HOLDINGS GROUP, INC.</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w:t>
      </w:r>
    </w:p>
    <w:p>
      <w:pPr>
        <w:spacing w:after="0" w:line="200" w:lineRule="exact"/>
        <w:rPr>
          <w:sz w:val="20"/>
          <w:szCs w:val="20"/>
          <w:color w:val="auto"/>
        </w:rPr>
      </w:pPr>
    </w:p>
    <w:p>
      <w:pPr>
        <w:spacing w:after="0" w:line="29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PROXY SOLICITED BY THE BOARD OF DIRECTORS FOR</w:t>
      </w:r>
    </w:p>
    <w:p>
      <w:pPr>
        <w:spacing w:after="0" w:line="3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22"/>
          <w:szCs w:val="22"/>
          <w:b w:val="1"/>
          <w:bCs w:val="1"/>
          <w:color w:val="auto"/>
        </w:rPr>
        <w:t>THE ANNUAL MEETING TO BE HELD ON APRIL 26, 2023</w:t>
      </w:r>
    </w:p>
    <w:p>
      <w:pPr>
        <w:spacing w:after="0" w:line="218" w:lineRule="exact"/>
        <w:rPr>
          <w:sz w:val="20"/>
          <w:szCs w:val="20"/>
          <w:color w:val="auto"/>
        </w:rPr>
      </w:pPr>
    </w:p>
    <w:p>
      <w:pPr>
        <w:ind w:right="20" w:firstLine="526"/>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hereby appoints Brian O. Casey and Murray "Terry" Forbes III, jointly and severally, as the undersigned’s proxy or proxies, each with full power of substitution and to act without the other, to vote in the manner directed herein all shares of common stock of Westwood Holdings Group, Inc. which the undersigned is entitled to vote at the Annual Meeting of Stockholders to be held at </w:t>
      </w:r>
      <w:r>
        <w:rPr>
          <w:rFonts w:ascii="Times New Roman" w:cs="Times New Roman" w:eastAsia="Times New Roman" w:hAnsi="Times New Roman"/>
          <w:sz w:val="18"/>
          <w:szCs w:val="18"/>
          <w:i w:val="1"/>
          <w:iCs w:val="1"/>
          <w:u w:val="single" w:color="auto"/>
          <w:color w:val="auto"/>
        </w:rPr>
        <w:t>www.virtualshareholdermeeting.com/WHG2023</w:t>
      </w:r>
      <w:r>
        <w:rPr>
          <w:rFonts w:ascii="Times New Roman" w:cs="Times New Roman" w:eastAsia="Times New Roman" w:hAnsi="Times New Roman"/>
          <w:sz w:val="18"/>
          <w:szCs w:val="18"/>
          <w:color w:val="auto"/>
        </w:rPr>
        <w:t xml:space="preserve"> on Wednesday, April 26, 2023, at 10:00 a.m., Central Time, and any postponements or adjournments thereof, as fully as the undersigned could if personally present, revoking any proxy or proxies heretofore given.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(Continued and to be signed on the reverse side)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705" w:right="359" w:bottom="1440" w:gutter="0" w:footer="0" w:header="0"/>
        </w:sectPr>
      </w:pPr>
    </w:p>
    <w:bookmarkStart w:id="62" w:name="page63"/>
    <w:bookmarkEnd w:id="62"/>
    <w:p>
      <w:pPr>
        <w:spacing w:after="0"/>
        <w:tabs>
          <w:tab w:leader="none" w:pos="11040" w:val="left"/>
        </w:tabs>
        <w:rPr>
          <w:sz w:val="20"/>
          <w:szCs w:val="20"/>
          <w:color w:val="auto"/>
        </w:rPr>
      </w:pPr>
      <w:r>
        <w:rPr>
          <w:rFonts w:ascii="Wingdings" w:cs="Wingdings" w:eastAsia="Wingdings" w:hAnsi="Wingdings"/>
          <w:sz w:val="18"/>
          <w:szCs w:val="18"/>
          <w:b w:val="1"/>
          <w:bCs w:val="1"/>
          <w:color w:val="auto"/>
        </w:rPr>
        <w:t>n</w:t>
      </w:r>
      <w:r>
        <w:rPr>
          <w:sz w:val="20"/>
          <w:szCs w:val="20"/>
          <w:color w:val="auto"/>
        </w:rPr>
        <w:tab/>
      </w:r>
      <w:r>
        <w:rPr>
          <w:rFonts w:ascii="Wingdings" w:cs="Wingdings" w:eastAsia="Wingdings" w:hAnsi="Wingdings"/>
          <w:sz w:val="18"/>
          <w:szCs w:val="18"/>
          <w:b w:val="1"/>
          <w:bCs w:val="1"/>
          <w:color w:val="auto"/>
        </w:rPr>
        <w: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354330</wp:posOffset>
            </wp:positionV>
            <wp:extent cx="6489065" cy="3874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89065" cy="3874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The Board of Directors recommends a vote “FOR” all director nominees in Proposal 1, “FOR” Proposals 2, 3, 4 and "1 Year" for Proposal 5.</w:t>
      </w:r>
    </w:p>
    <w:p>
      <w:pPr>
        <w:spacing w:after="0" w:line="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color w:val="auto"/>
        </w:rPr>
        <w:t>PLEASE SIGN, DATE AND RETURN PROMPTLY IN THE ENCLOSED ENVELOPE. PLEASE MARK YOUR VOTE IN BLUE OR BLACK INK AS</w:t>
      </w:r>
    </w:p>
    <w:p>
      <w:pPr>
        <w:spacing w:after="0" w:line="18" w:lineRule="exact"/>
        <w:rPr>
          <w:sz w:val="20"/>
          <w:szCs w:val="20"/>
          <w:color w:val="auto"/>
        </w:rPr>
      </w:pPr>
    </w:p>
    <w:p>
      <w:pPr>
        <w:jc w:val="center"/>
        <w:ind w:right="520"/>
        <w:spacing w:after="0"/>
        <w:tabs>
          <w:tab w:leader="none" w:pos="200" w:val="left"/>
        </w:tabs>
        <w:rPr>
          <w:sz w:val="20"/>
          <w:szCs w:val="20"/>
          <w:color w:val="auto"/>
        </w:rPr>
      </w:pPr>
      <w:r>
        <w:rPr>
          <w:rFonts w:ascii="Times New Roman" w:cs="Times New Roman" w:eastAsia="Times New Roman" w:hAnsi="Times New Roman"/>
          <w:sz w:val="14"/>
          <w:szCs w:val="14"/>
          <w:b w:val="1"/>
          <w:bCs w:val="1"/>
          <w:color w:val="auto"/>
        </w:rPr>
        <w:t>SHOWN HERE</w:t>
      </w:r>
      <w:r>
        <w:rPr>
          <w:sz w:val="20"/>
          <w:szCs w:val="20"/>
          <w:color w:val="auto"/>
        </w:rPr>
        <w:tab/>
      </w:r>
      <w:r>
        <w:rPr>
          <w:rFonts w:ascii="Wingdings" w:cs="Wingdings" w:eastAsia="Wingdings" w:hAnsi="Wingdings"/>
          <w:sz w:val="13"/>
          <w:szCs w:val="13"/>
          <w:b w:val="1"/>
          <w:bCs w:val="1"/>
          <w:color w:val="auto"/>
        </w:rPr>
        <w:t>x</w:t>
      </w:r>
    </w:p>
    <w:p>
      <w:pPr>
        <w:sectPr>
          <w:pgSz w:w="11900" w:h="16838" w:orient="portrait"/>
          <w:cols w:equalWidth="0" w:num="1">
            <w:col w:w="11240"/>
          </w:cols>
          <w:pgMar w:left="340" w:top="1407" w:right="319" w:bottom="1440" w:gutter="0" w:footer="0" w:header="0"/>
        </w:sectPr>
      </w:pPr>
    </w:p>
    <w:p>
      <w:pPr>
        <w:spacing w:after="0" w:line="229" w:lineRule="exact"/>
        <w:rPr>
          <w:sz w:val="20"/>
          <w:szCs w:val="20"/>
          <w:color w:val="auto"/>
        </w:rPr>
      </w:pPr>
    </w:p>
    <w:p>
      <w:pPr>
        <w:jc w:val="both"/>
        <w:ind w:right="960" w:firstLine="6"/>
        <w:spacing w:after="0" w:line="241" w:lineRule="auto"/>
        <w:tabs>
          <w:tab w:leader="none" w:pos="144"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Election of six directors to hold office until the next annual meeting of Westwood’s stockholders and until their respective successors shall have been duly elected and qualified.</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3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tcPr>
          <w:p>
            <w:pPr>
              <w:ind w:left="400"/>
              <w:spacing w:after="0"/>
              <w:rPr>
                <w:sz w:val="20"/>
                <w:szCs w:val="20"/>
                <w:color w:val="auto"/>
              </w:rPr>
            </w:pPr>
            <w:r>
              <w:rPr>
                <w:rFonts w:ascii="Times New Roman" w:cs="Times New Roman" w:eastAsia="Times New Roman" w:hAnsi="Times New Roman"/>
                <w:sz w:val="11"/>
                <w:szCs w:val="11"/>
                <w:color w:val="auto"/>
              </w:rPr>
              <w:t>FOR</w:t>
            </w:r>
          </w:p>
        </w:tc>
        <w:tc>
          <w:tcPr>
            <w:tcW w:w="9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AGAINST</w:t>
            </w:r>
          </w:p>
        </w:tc>
        <w:tc>
          <w:tcPr>
            <w:tcW w:w="660" w:type="dxa"/>
            <w:vAlign w:val="bottom"/>
          </w:tcPr>
          <w:p>
            <w:pPr>
              <w:jc w:val="center"/>
              <w:ind w:left="120"/>
              <w:spacing w:after="0"/>
              <w:rPr>
                <w:sz w:val="20"/>
                <w:szCs w:val="20"/>
                <w:color w:val="auto"/>
              </w:rPr>
            </w:pPr>
            <w:r>
              <w:rPr>
                <w:rFonts w:ascii="Times New Roman" w:cs="Times New Roman" w:eastAsia="Times New Roman" w:hAnsi="Times New Roman"/>
                <w:sz w:val="11"/>
                <w:szCs w:val="11"/>
                <w:color w:val="auto"/>
                <w:w w:val="96"/>
              </w:rPr>
              <w:t>ABSTAIN</w:t>
            </w:r>
          </w:p>
        </w:tc>
      </w:tr>
      <w:tr>
        <w:trPr>
          <w:trHeight w:val="309"/>
        </w:trPr>
        <w:tc>
          <w:tcPr>
            <w:tcW w:w="3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96"/>
              </w:rPr>
              <w:t>01)</w:t>
            </w:r>
          </w:p>
        </w:tc>
        <w:tc>
          <w:tcPr>
            <w:tcW w:w="1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Brian O. Casey</w:t>
            </w:r>
          </w:p>
        </w:tc>
        <w:tc>
          <w:tcPr>
            <w:tcW w:w="840" w:type="dxa"/>
            <w:vAlign w:val="bottom"/>
          </w:tcPr>
          <w:p>
            <w:pPr>
              <w:ind w:left="420"/>
              <w:spacing w:after="0"/>
              <w:rPr>
                <w:sz w:val="20"/>
                <w:szCs w:val="20"/>
                <w:color w:val="auto"/>
              </w:rPr>
            </w:pPr>
            <w:r>
              <w:rPr>
                <w:rFonts w:ascii="Wingdings" w:cs="Wingdings" w:eastAsia="Wingdings" w:hAnsi="Wingdings"/>
                <w:sz w:val="18"/>
                <w:szCs w:val="18"/>
                <w:b w:val="1"/>
                <w:bCs w:val="1"/>
                <w:color w:val="auto"/>
                <w:highlight w:val="black"/>
              </w:rPr>
              <w:t>o</w:t>
            </w: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60" w:type="dxa"/>
            <w:vAlign w:val="bottom"/>
          </w:tcPr>
          <w:p>
            <w:pPr>
              <w:jc w:val="center"/>
              <w:ind w:left="100"/>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310"/>
        </w:trPr>
        <w:tc>
          <w:tcPr>
            <w:tcW w:w="3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96"/>
              </w:rPr>
              <w:t>02)</w:t>
            </w:r>
          </w:p>
        </w:tc>
        <w:tc>
          <w:tcPr>
            <w:tcW w:w="1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Richard M. Frank</w:t>
            </w:r>
          </w:p>
        </w:tc>
        <w:tc>
          <w:tcPr>
            <w:tcW w:w="840" w:type="dxa"/>
            <w:vAlign w:val="bottom"/>
          </w:tcPr>
          <w:p>
            <w:pPr>
              <w:ind w:left="420"/>
              <w:spacing w:after="0"/>
              <w:rPr>
                <w:sz w:val="20"/>
                <w:szCs w:val="20"/>
                <w:color w:val="auto"/>
              </w:rPr>
            </w:pPr>
            <w:r>
              <w:rPr>
                <w:rFonts w:ascii="Wingdings" w:cs="Wingdings" w:eastAsia="Wingdings" w:hAnsi="Wingdings"/>
                <w:sz w:val="18"/>
                <w:szCs w:val="18"/>
                <w:b w:val="1"/>
                <w:bCs w:val="1"/>
                <w:color w:val="auto"/>
                <w:highlight w:val="black"/>
              </w:rPr>
              <w:t>o</w:t>
            </w: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60" w:type="dxa"/>
            <w:vAlign w:val="bottom"/>
          </w:tcPr>
          <w:p>
            <w:pPr>
              <w:jc w:val="center"/>
              <w:ind w:left="100"/>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35"/>
        </w:trPr>
        <w:tc>
          <w:tcPr>
            <w:tcW w:w="3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96"/>
              </w:rPr>
              <w:t>03)</w:t>
            </w:r>
          </w:p>
        </w:tc>
        <w:tc>
          <w:tcPr>
            <w:tcW w:w="1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Susan M. Byrne</w:t>
            </w:r>
          </w:p>
        </w:tc>
        <w:tc>
          <w:tcPr>
            <w:tcW w:w="840" w:type="dxa"/>
            <w:vAlign w:val="bottom"/>
          </w:tcPr>
          <w:p>
            <w:pPr>
              <w:ind w:left="420"/>
              <w:spacing w:after="0"/>
              <w:rPr>
                <w:sz w:val="20"/>
                <w:szCs w:val="20"/>
                <w:color w:val="auto"/>
              </w:rPr>
            </w:pPr>
            <w:r>
              <w:rPr>
                <w:rFonts w:ascii="Wingdings" w:cs="Wingdings" w:eastAsia="Wingdings" w:hAnsi="Wingdings"/>
                <w:sz w:val="18"/>
                <w:szCs w:val="18"/>
                <w:b w:val="1"/>
                <w:bCs w:val="1"/>
                <w:color w:val="auto"/>
                <w:highlight w:val="black"/>
              </w:rPr>
              <w:t>o</w:t>
            </w: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60" w:type="dxa"/>
            <w:vAlign w:val="bottom"/>
          </w:tcPr>
          <w:p>
            <w:pPr>
              <w:jc w:val="center"/>
              <w:ind w:left="100"/>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29"/>
        </w:trPr>
        <w:tc>
          <w:tcPr>
            <w:tcW w:w="3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96"/>
              </w:rPr>
              <w:t>04)</w:t>
            </w:r>
          </w:p>
        </w:tc>
        <w:tc>
          <w:tcPr>
            <w:tcW w:w="1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Ellen H. Masterson</w:t>
            </w:r>
          </w:p>
        </w:tc>
        <w:tc>
          <w:tcPr>
            <w:tcW w:w="840" w:type="dxa"/>
            <w:vAlign w:val="bottom"/>
          </w:tcPr>
          <w:p>
            <w:pPr>
              <w:ind w:left="420"/>
              <w:spacing w:after="0"/>
              <w:rPr>
                <w:sz w:val="20"/>
                <w:szCs w:val="20"/>
                <w:color w:val="auto"/>
              </w:rPr>
            </w:pPr>
            <w:r>
              <w:rPr>
                <w:rFonts w:ascii="Wingdings" w:cs="Wingdings" w:eastAsia="Wingdings" w:hAnsi="Wingdings"/>
                <w:sz w:val="18"/>
                <w:szCs w:val="18"/>
                <w:b w:val="1"/>
                <w:bCs w:val="1"/>
                <w:color w:val="auto"/>
                <w:highlight w:val="black"/>
              </w:rPr>
              <w:t>o</w:t>
            </w: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60" w:type="dxa"/>
            <w:vAlign w:val="bottom"/>
          </w:tcPr>
          <w:p>
            <w:pPr>
              <w:jc w:val="center"/>
              <w:ind w:left="100"/>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230"/>
        </w:trPr>
        <w:tc>
          <w:tcPr>
            <w:tcW w:w="3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w w:val="96"/>
              </w:rPr>
              <w:t>05)</w:t>
            </w:r>
          </w:p>
        </w:tc>
        <w:tc>
          <w:tcPr>
            <w:tcW w:w="1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Geoffrey R. Norman</w:t>
            </w:r>
          </w:p>
        </w:tc>
        <w:tc>
          <w:tcPr>
            <w:tcW w:w="840" w:type="dxa"/>
            <w:vAlign w:val="bottom"/>
          </w:tcPr>
          <w:p>
            <w:pPr>
              <w:ind w:left="420"/>
              <w:spacing w:after="0"/>
              <w:rPr>
                <w:sz w:val="20"/>
                <w:szCs w:val="20"/>
                <w:color w:val="auto"/>
              </w:rPr>
            </w:pPr>
            <w:r>
              <w:rPr>
                <w:rFonts w:ascii="Wingdings" w:cs="Wingdings" w:eastAsia="Wingdings" w:hAnsi="Wingdings"/>
                <w:sz w:val="18"/>
                <w:szCs w:val="18"/>
                <w:b w:val="1"/>
                <w:bCs w:val="1"/>
                <w:color w:val="auto"/>
                <w:highlight w:val="black"/>
              </w:rPr>
              <w:t>o</w:t>
            </w:r>
          </w:p>
        </w:tc>
        <w:tc>
          <w:tcPr>
            <w:tcW w:w="900" w:type="dxa"/>
            <w:vAlign w:val="bottom"/>
          </w:tcPr>
          <w:p>
            <w:pPr>
              <w:jc w:val="center"/>
              <w:spacing w:after="0"/>
              <w:rPr>
                <w:sz w:val="20"/>
                <w:szCs w:val="20"/>
                <w:color w:val="auto"/>
              </w:rPr>
            </w:pPr>
            <w:r>
              <w:rPr>
                <w:rFonts w:ascii="Wingdings" w:cs="Wingdings" w:eastAsia="Wingdings" w:hAnsi="Wingdings"/>
                <w:sz w:val="18"/>
                <w:szCs w:val="18"/>
                <w:b w:val="1"/>
                <w:bCs w:val="1"/>
                <w:color w:val="auto"/>
                <w:highlight w:val="black"/>
                <w:w w:val="99"/>
              </w:rPr>
              <w:t>o</w:t>
            </w:r>
          </w:p>
        </w:tc>
        <w:tc>
          <w:tcPr>
            <w:tcW w:w="660" w:type="dxa"/>
            <w:vAlign w:val="bottom"/>
          </w:tcPr>
          <w:p>
            <w:pPr>
              <w:jc w:val="center"/>
              <w:ind w:left="100"/>
              <w:spacing w:after="0"/>
              <w:rPr>
                <w:sz w:val="20"/>
                <w:szCs w:val="20"/>
                <w:color w:val="auto"/>
              </w:rPr>
            </w:pPr>
            <w:r>
              <w:rPr>
                <w:rFonts w:ascii="Wingdings" w:cs="Wingdings" w:eastAsia="Wingdings" w:hAnsi="Wingdings"/>
                <w:sz w:val="18"/>
                <w:szCs w:val="18"/>
                <w:b w:val="1"/>
                <w:bCs w:val="1"/>
                <w:color w:val="auto"/>
                <w:highlight w:val="black"/>
                <w:w w:val="99"/>
              </w:rPr>
              <w:t>o</w:t>
            </w:r>
          </w:p>
        </w:tc>
      </w:tr>
      <w:tr>
        <w:trPr>
          <w:trHeight w:val="97"/>
        </w:trPr>
        <w:tc>
          <w:tcPr>
            <w:tcW w:w="380" w:type="dxa"/>
            <w:vAlign w:val="bottom"/>
          </w:tcPr>
          <w:p>
            <w:pPr>
              <w:jc w:val="right"/>
              <w:ind w:right="111"/>
              <w:spacing w:after="0" w:line="97" w:lineRule="exact"/>
              <w:rPr>
                <w:sz w:val="20"/>
                <w:szCs w:val="20"/>
                <w:color w:val="auto"/>
              </w:rPr>
            </w:pPr>
            <w:r>
              <w:rPr>
                <w:rFonts w:ascii="Times New Roman" w:cs="Times New Roman" w:eastAsia="Times New Roman" w:hAnsi="Times New Roman"/>
                <w:sz w:val="11"/>
                <w:szCs w:val="11"/>
                <w:color w:val="auto"/>
              </w:rPr>
              <w:t>06)</w:t>
            </w:r>
          </w:p>
        </w:tc>
        <w:tc>
          <w:tcPr>
            <w:tcW w:w="1760" w:type="dxa"/>
            <w:vAlign w:val="bottom"/>
          </w:tcPr>
          <w:p>
            <w:pPr>
              <w:ind w:left="160"/>
              <w:spacing w:after="0" w:line="97" w:lineRule="exact"/>
              <w:rPr>
                <w:sz w:val="20"/>
                <w:szCs w:val="20"/>
                <w:color w:val="auto"/>
              </w:rPr>
            </w:pPr>
            <w:r>
              <w:rPr>
                <w:rFonts w:ascii="Times New Roman" w:cs="Times New Roman" w:eastAsia="Times New Roman" w:hAnsi="Times New Roman"/>
                <w:sz w:val="11"/>
                <w:szCs w:val="11"/>
                <w:color w:val="auto"/>
              </w:rPr>
              <w:t>Randy A. Bowman</w:t>
            </w:r>
          </w:p>
        </w:tc>
        <w:tc>
          <w:tcPr>
            <w:tcW w:w="840" w:type="dxa"/>
            <w:vAlign w:val="bottom"/>
          </w:tcPr>
          <w:p>
            <w:pPr>
              <w:ind w:left="420"/>
              <w:spacing w:after="0" w:line="98" w:lineRule="exact"/>
              <w:rPr>
                <w:sz w:val="20"/>
                <w:szCs w:val="20"/>
                <w:color w:val="auto"/>
              </w:rPr>
            </w:pPr>
            <w:r>
              <w:rPr>
                <w:rFonts w:ascii="Wingdings" w:cs="Wingdings" w:eastAsia="Wingdings" w:hAnsi="Wingdings"/>
                <w:sz w:val="11"/>
                <w:szCs w:val="11"/>
                <w:b w:val="1"/>
                <w:bCs w:val="1"/>
                <w:color w:val="auto"/>
                <w:highlight w:val="black"/>
              </w:rPr>
              <w:t>o</w:t>
            </w:r>
          </w:p>
        </w:tc>
        <w:tc>
          <w:tcPr>
            <w:tcW w:w="900" w:type="dxa"/>
            <w:vAlign w:val="bottom"/>
          </w:tcPr>
          <w:p>
            <w:pPr>
              <w:jc w:val="center"/>
              <w:spacing w:after="0" w:line="98" w:lineRule="exact"/>
              <w:rPr>
                <w:sz w:val="20"/>
                <w:szCs w:val="20"/>
                <w:color w:val="auto"/>
              </w:rPr>
            </w:pPr>
            <w:r>
              <w:rPr>
                <w:rFonts w:ascii="Wingdings" w:cs="Wingdings" w:eastAsia="Wingdings" w:hAnsi="Wingdings"/>
                <w:sz w:val="11"/>
                <w:szCs w:val="11"/>
                <w:b w:val="1"/>
                <w:bCs w:val="1"/>
                <w:color w:val="auto"/>
                <w:highlight w:val="black"/>
              </w:rPr>
              <w:t>o</w:t>
            </w:r>
          </w:p>
        </w:tc>
        <w:tc>
          <w:tcPr>
            <w:tcW w:w="660" w:type="dxa"/>
            <w:vAlign w:val="bottom"/>
          </w:tcPr>
          <w:p>
            <w:pPr>
              <w:jc w:val="center"/>
              <w:ind w:left="100"/>
              <w:spacing w:after="0" w:line="98" w:lineRule="exact"/>
              <w:rPr>
                <w:sz w:val="20"/>
                <w:szCs w:val="20"/>
                <w:color w:val="auto"/>
              </w:rPr>
            </w:pPr>
            <w:r>
              <w:rPr>
                <w:rFonts w:ascii="Wingdings" w:cs="Wingdings" w:eastAsia="Wingdings" w:hAnsi="Wingdings"/>
                <w:sz w:val="11"/>
                <w:szCs w:val="11"/>
                <w:b w:val="1"/>
                <w:bCs w:val="1"/>
                <w:color w:val="auto"/>
                <w:highlight w:val="black"/>
              </w:rPr>
              <w:t>o</w:t>
            </w:r>
          </w:p>
        </w:tc>
      </w:tr>
    </w:tbl>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8" w:right="40" w:hanging="8"/>
        <w:spacing w:after="0" w:line="241" w:lineRule="auto"/>
        <w:tabs>
          <w:tab w:leader="none" w:pos="187"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Ratification of the appointment of BDO USA, LLP as Westwood’s independent auditors for the year ending December 31, 2023.</w:t>
      </w:r>
    </w:p>
    <w:p>
      <w:pPr>
        <w:spacing w:after="0" w:line="203" w:lineRule="exact"/>
        <w:rPr>
          <w:rFonts w:ascii="Times New Roman" w:cs="Times New Roman" w:eastAsia="Times New Roman" w:hAnsi="Times New Roman"/>
          <w:sz w:val="14"/>
          <w:szCs w:val="14"/>
          <w:color w:val="auto"/>
        </w:rPr>
      </w:pPr>
    </w:p>
    <w:p>
      <w:pPr>
        <w:ind w:left="8" w:hanging="8"/>
        <w:spacing w:after="0" w:line="241" w:lineRule="auto"/>
        <w:tabs>
          <w:tab w:leader="none" w:pos="149"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approve the Ninth Amended and Restated Westwood Holdings Group, Inc. Stock Incentive Plan.</w:t>
      </w:r>
    </w:p>
    <w:p>
      <w:pPr>
        <w:spacing w:after="0" w:line="365" w:lineRule="exact"/>
        <w:rPr>
          <w:rFonts w:ascii="Times New Roman" w:cs="Times New Roman" w:eastAsia="Times New Roman" w:hAnsi="Times New Roman"/>
          <w:sz w:val="14"/>
          <w:szCs w:val="14"/>
          <w:color w:val="auto"/>
        </w:rPr>
      </w:pPr>
    </w:p>
    <w:p>
      <w:pPr>
        <w:ind w:left="8" w:right="360" w:hanging="8"/>
        <w:spacing w:after="0" w:line="261" w:lineRule="auto"/>
        <w:tabs>
          <w:tab w:leader="none" w:pos="151"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cast a non-binding, advisory vote on Westwood's executive compensation.</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60"/>
        <w:spacing w:after="0"/>
        <w:tabs>
          <w:tab w:leader="none" w:pos="740" w:val="left"/>
          <w:tab w:leader="none" w:pos="1640" w:val="left"/>
        </w:tabs>
        <w:rPr>
          <w:sz w:val="20"/>
          <w:szCs w:val="20"/>
          <w:color w:val="auto"/>
        </w:rPr>
      </w:pPr>
      <w:r>
        <w:rPr>
          <w:rFonts w:ascii="Times New Roman" w:cs="Times New Roman" w:eastAsia="Times New Roman" w:hAnsi="Times New Roman"/>
          <w:sz w:val="11"/>
          <w:szCs w:val="11"/>
          <w:color w:val="auto"/>
        </w:rPr>
        <w:t>FOR</w:t>
      </w:r>
      <w:r>
        <w:rPr>
          <w:sz w:val="20"/>
          <w:szCs w:val="20"/>
          <w:color w:val="auto"/>
        </w:rPr>
        <w:tab/>
      </w:r>
      <w:r>
        <w:rPr>
          <w:rFonts w:ascii="Times New Roman" w:cs="Times New Roman" w:eastAsia="Times New Roman" w:hAnsi="Times New Roman"/>
          <w:sz w:val="11"/>
          <w:szCs w:val="11"/>
          <w:color w:val="auto"/>
        </w:rPr>
        <w:t>AGAINST</w:t>
      </w:r>
      <w:r>
        <w:rPr>
          <w:sz w:val="20"/>
          <w:szCs w:val="20"/>
          <w:color w:val="auto"/>
        </w:rPr>
        <w:tab/>
      </w:r>
      <w:r>
        <w:rPr>
          <w:rFonts w:ascii="Times New Roman" w:cs="Times New Roman" w:eastAsia="Times New Roman" w:hAnsi="Times New Roman"/>
          <w:sz w:val="10"/>
          <w:szCs w:val="10"/>
          <w:color w:val="auto"/>
        </w:rPr>
        <w:t>ABSTAIN</w:t>
      </w:r>
    </w:p>
    <w:p>
      <w:pPr>
        <w:spacing w:after="0" w:line="47" w:lineRule="exact"/>
        <w:rPr>
          <w:sz w:val="20"/>
          <w:szCs w:val="20"/>
          <w:color w:val="auto"/>
        </w:rPr>
      </w:pPr>
    </w:p>
    <w:p>
      <w:pPr>
        <w:ind w:left="80"/>
        <w:spacing w:after="0"/>
        <w:tabs>
          <w:tab w:leader="none" w:pos="900" w:val="left"/>
          <w:tab w:leader="none" w:pos="178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200" w:lineRule="exact"/>
        <w:rPr>
          <w:sz w:val="20"/>
          <w:szCs w:val="20"/>
          <w:color w:val="auto"/>
        </w:rPr>
      </w:pPr>
    </w:p>
    <w:p>
      <w:pPr>
        <w:spacing w:after="0" w:line="289" w:lineRule="exact"/>
        <w:rPr>
          <w:sz w:val="20"/>
          <w:szCs w:val="20"/>
          <w:color w:val="auto"/>
        </w:rPr>
      </w:pPr>
    </w:p>
    <w:p>
      <w:pPr>
        <w:ind w:left="80"/>
        <w:spacing w:after="0"/>
        <w:tabs>
          <w:tab w:leader="none" w:pos="900" w:val="left"/>
          <w:tab w:leader="none" w:pos="178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80"/>
        <w:spacing w:after="0"/>
        <w:tabs>
          <w:tab w:leader="none" w:pos="900" w:val="left"/>
          <w:tab w:leader="none" w:pos="1780" w:val="left"/>
        </w:tabs>
        <w:rPr>
          <w:sz w:val="20"/>
          <w:szCs w:val="20"/>
          <w:color w:val="auto"/>
        </w:rPr>
      </w:pP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177" w:lineRule="exact"/>
        <w:rPr>
          <w:sz w:val="20"/>
          <w:szCs w:val="20"/>
          <w:color w:val="auto"/>
        </w:rPr>
      </w:pPr>
    </w:p>
    <w:p>
      <w:pPr>
        <w:spacing w:after="0"/>
        <w:tabs>
          <w:tab w:leader="none" w:pos="780" w:val="left"/>
          <w:tab w:leader="none" w:pos="1680" w:val="left"/>
        </w:tabs>
        <w:rPr>
          <w:sz w:val="20"/>
          <w:szCs w:val="20"/>
          <w:color w:val="auto"/>
        </w:rPr>
      </w:pPr>
      <w:r>
        <w:rPr>
          <w:rFonts w:ascii="Times New Roman" w:cs="Times New Roman" w:eastAsia="Times New Roman" w:hAnsi="Times New Roman"/>
          <w:sz w:val="13"/>
          <w:szCs w:val="13"/>
          <w:b w:val="1"/>
          <w:bCs w:val="1"/>
          <w:color w:val="auto"/>
        </w:rPr>
        <w:t>1 year</w:t>
      </w:r>
      <w:r>
        <w:rPr>
          <w:sz w:val="20"/>
          <w:szCs w:val="20"/>
          <w:color w:val="auto"/>
        </w:rPr>
        <w:tab/>
      </w:r>
      <w:r>
        <w:rPr>
          <w:rFonts w:ascii="Times New Roman" w:cs="Times New Roman" w:eastAsia="Times New Roman" w:hAnsi="Times New Roman"/>
          <w:sz w:val="13"/>
          <w:szCs w:val="13"/>
          <w:b w:val="1"/>
          <w:bCs w:val="1"/>
          <w:color w:val="auto"/>
        </w:rPr>
        <w:t>2 years</w:t>
      </w:r>
      <w:r>
        <w:rPr>
          <w:sz w:val="20"/>
          <w:szCs w:val="20"/>
          <w:color w:val="auto"/>
        </w:rPr>
        <w:tab/>
      </w:r>
      <w:r>
        <w:rPr>
          <w:rFonts w:ascii="Times New Roman" w:cs="Times New Roman" w:eastAsia="Times New Roman" w:hAnsi="Times New Roman"/>
          <w:sz w:val="12"/>
          <w:szCs w:val="12"/>
          <w:b w:val="1"/>
          <w:bCs w:val="1"/>
          <w:color w:val="auto"/>
        </w:rPr>
        <w:t>3 years</w:t>
      </w:r>
    </w:p>
    <w:p>
      <w:pPr>
        <w:spacing w:after="0" w:line="1" w:lineRule="exact"/>
        <w:rPr>
          <w:sz w:val="20"/>
          <w:szCs w:val="20"/>
          <w:color w:val="auto"/>
        </w:rPr>
      </w:pPr>
    </w:p>
    <w:p>
      <w:pPr>
        <w:sectPr>
          <w:pgSz w:w="11900" w:h="16838" w:orient="portrait"/>
          <w:cols w:equalWidth="0" w:num="3">
            <w:col w:w="4540" w:space="312"/>
            <w:col w:w="2788" w:space="280"/>
            <w:col w:w="3320"/>
          </w:cols>
          <w:pgMar w:left="340" w:top="1407" w:right="319" w:bottom="1440" w:gutter="0" w:footer="0" w:header="0"/>
          <w:type w:val="continuous"/>
        </w:sectPr>
      </w:pPr>
    </w:p>
    <w:p>
      <w:pPr>
        <w:ind w:left="10380"/>
        <w:spacing w:after="0"/>
        <w:rPr>
          <w:sz w:val="20"/>
          <w:szCs w:val="20"/>
          <w:color w:val="auto"/>
        </w:rPr>
      </w:pPr>
      <w:r>
        <w:rPr>
          <w:rFonts w:ascii="Times New Roman" w:cs="Times New Roman" w:eastAsia="Times New Roman" w:hAnsi="Times New Roman"/>
          <w:sz w:val="10"/>
          <w:szCs w:val="10"/>
          <w:color w:val="auto"/>
        </w:rPr>
        <w:t>ABSTAIN</w:t>
      </w:r>
    </w:p>
    <w:p>
      <w:pPr>
        <w:sectPr>
          <w:pgSz w:w="11900" w:h="16838" w:orient="portrait"/>
          <w:cols w:equalWidth="0" w:num="1">
            <w:col w:w="11240"/>
          </w:cols>
          <w:pgMar w:left="340" w:top="1407" w:right="319" w:bottom="1440" w:gutter="0" w:footer="0" w:header="0"/>
          <w:type w:val="continuous"/>
        </w:sectPr>
      </w:pPr>
    </w:p>
    <w:p>
      <w:pPr>
        <w:spacing w:after="0" w:line="8" w:lineRule="exact"/>
        <w:rPr>
          <w:sz w:val="20"/>
          <w:szCs w:val="20"/>
          <w:color w:val="auto"/>
        </w:rPr>
      </w:pPr>
    </w:p>
    <w:p>
      <w:pPr>
        <w:ind w:left="4860"/>
        <w:spacing w:after="0"/>
        <w:tabs>
          <w:tab w:leader="none" w:pos="7980" w:val="left"/>
          <w:tab w:leader="none" w:pos="8820" w:val="left"/>
          <w:tab w:leader="none" w:pos="9700" w:val="left"/>
        </w:tabs>
        <w:rPr>
          <w:sz w:val="20"/>
          <w:szCs w:val="20"/>
          <w:color w:val="auto"/>
        </w:rPr>
      </w:pPr>
      <w:r>
        <w:rPr>
          <w:rFonts w:ascii="Times New Roman" w:cs="Times New Roman" w:eastAsia="Times New Roman" w:hAnsi="Times New Roman"/>
          <w:sz w:val="14"/>
          <w:szCs w:val="14"/>
          <w:color w:val="auto"/>
        </w:rPr>
        <w:t>5. To cast a non-binding, advisory vote on the</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8"/>
          <w:szCs w:val="18"/>
          <w:b w:val="1"/>
          <w:bCs w:val="1"/>
          <w:color w:val="auto"/>
          <w:highlight w:val="black"/>
        </w:rPr>
        <w:t>o</w:t>
      </w:r>
      <w:r>
        <w:rPr>
          <w:sz w:val="20"/>
          <w:szCs w:val="20"/>
          <w:color w:val="auto"/>
        </w:rPr>
        <w:tab/>
      </w:r>
      <w:r>
        <w:rPr>
          <w:rFonts w:ascii="Wingdings" w:cs="Wingdings" w:eastAsia="Wingdings" w:hAnsi="Wingdings"/>
          <w:sz w:val="17"/>
          <w:szCs w:val="17"/>
          <w:b w:val="1"/>
          <w:bCs w:val="1"/>
          <w:color w:val="auto"/>
          <w:highlight w:val="black"/>
        </w:rPr>
        <w:t>o</w:t>
      </w:r>
    </w:p>
    <w:p>
      <w:pPr>
        <w:spacing w:after="0" w:line="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frequency of future advisory votes on</w:t>
      </w:r>
    </w:p>
    <w:p>
      <w:pPr>
        <w:spacing w:after="0" w:line="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4"/>
          <w:szCs w:val="14"/>
          <w:color w:val="auto"/>
        </w:rPr>
        <w:t>Westwood's executive compensation.</w:t>
      </w:r>
    </w:p>
    <w:p>
      <w:pPr>
        <w:spacing w:after="0" w:line="200" w:lineRule="exact"/>
        <w:rPr>
          <w:sz w:val="20"/>
          <w:szCs w:val="20"/>
          <w:color w:val="auto"/>
        </w:rPr>
      </w:pPr>
    </w:p>
    <w:p>
      <w:pPr>
        <w:spacing w:after="0" w:line="352" w:lineRule="exact"/>
        <w:rPr>
          <w:sz w:val="20"/>
          <w:szCs w:val="20"/>
          <w:color w:val="auto"/>
        </w:rPr>
      </w:pPr>
    </w:p>
    <w:p>
      <w:pPr>
        <w:ind w:left="4860" w:right="40"/>
        <w:spacing w:after="0" w:line="241" w:lineRule="auto"/>
        <w:rPr>
          <w:sz w:val="20"/>
          <w:szCs w:val="20"/>
          <w:color w:val="auto"/>
        </w:rPr>
      </w:pPr>
      <w:r>
        <w:rPr>
          <w:rFonts w:ascii="Times New Roman" w:cs="Times New Roman" w:eastAsia="Times New Roman" w:hAnsi="Times New Roman"/>
          <w:sz w:val="14"/>
          <w:szCs w:val="14"/>
          <w:color w:val="auto"/>
        </w:rPr>
        <w:t>IN THEIR DISCRETION, THE PROXIES ARE AUTHORIZED TO VOTE UPON SUCH OTHER MATTERS AS MAY PROPERLY COME BEFORE THE ANNUAL MEETING OR ANY POSTPONEMENTS OR ADJOURNMENTS THEREOF.</w:t>
      </w:r>
    </w:p>
    <w:p>
      <w:pPr>
        <w:spacing w:after="0" w:line="328"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2"/>
          <w:szCs w:val="12"/>
          <w:b w:val="1"/>
          <w:bCs w:val="1"/>
          <w:color w:val="auto"/>
        </w:rPr>
        <w:t>THIS PROXY, WHEN PROPERLY EXECUTED, WILL BE VOTED IN ACCORDANCE WITH</w:t>
      </w:r>
    </w:p>
    <w:p>
      <w:pPr>
        <w:spacing w:after="0" w:line="13" w:lineRule="exact"/>
        <w:rPr>
          <w:sz w:val="20"/>
          <w:szCs w:val="20"/>
          <w:color w:val="auto"/>
        </w:rPr>
      </w:pPr>
    </w:p>
    <w:p>
      <w:pPr>
        <w:ind w:left="4860"/>
        <w:spacing w:after="0" w:line="219" w:lineRule="auto"/>
        <w:rPr>
          <w:sz w:val="20"/>
          <w:szCs w:val="20"/>
          <w:color w:val="auto"/>
        </w:rPr>
      </w:pPr>
      <w:r>
        <w:rPr>
          <w:rFonts w:ascii="Times New Roman" w:cs="Times New Roman" w:eastAsia="Times New Roman" w:hAnsi="Times New Roman"/>
          <w:sz w:val="12"/>
          <w:szCs w:val="12"/>
          <w:b w:val="1"/>
          <w:bCs w:val="1"/>
          <w:color w:val="auto"/>
        </w:rPr>
        <w:t>THE SPECIFICATIONS MADE BELOW, BUT IF NO CHOICE IS INDICATED, THIS PROXY WILL BE VOTED "FOR" ALL DIRECTOR NOMINEES IN PROPOSAL 1, "FOR" PROPOSALS 2, 3, 4 , AND "1 YEAR"FOR PROPOSAL 5, AND IN THE DISCRETION OF THE</w:t>
      </w:r>
    </w:p>
    <w:p>
      <w:pPr>
        <w:ind w:left="4860"/>
        <w:spacing w:after="0" w:line="195" w:lineRule="auto"/>
        <w:rPr>
          <w:sz w:val="20"/>
          <w:szCs w:val="20"/>
          <w:color w:val="auto"/>
        </w:rPr>
      </w:pPr>
      <w:r>
        <w:rPr>
          <w:rFonts w:ascii="Times New Roman" w:cs="Times New Roman" w:eastAsia="Times New Roman" w:hAnsi="Times New Roman"/>
          <w:sz w:val="13"/>
          <w:szCs w:val="13"/>
          <w:b w:val="1"/>
          <w:bCs w:val="1"/>
          <w:color w:val="auto"/>
        </w:rPr>
        <w:t>PROXIES WITH RESPECT TO ANY OTHER MATTER AS MAY PROPERLY COME</w:t>
      </w:r>
    </w:p>
    <w:p>
      <w:pPr>
        <w:ind w:left="4860"/>
        <w:spacing w:after="0" w:line="195" w:lineRule="auto"/>
        <w:rPr>
          <w:sz w:val="20"/>
          <w:szCs w:val="20"/>
          <w:color w:val="auto"/>
        </w:rPr>
      </w:pPr>
      <w:r>
        <w:rPr>
          <w:rFonts w:ascii="Times New Roman" w:cs="Times New Roman" w:eastAsia="Times New Roman" w:hAnsi="Times New Roman"/>
          <w:sz w:val="13"/>
          <w:szCs w:val="13"/>
          <w:b w:val="1"/>
          <w:bCs w:val="1"/>
          <w:color w:val="auto"/>
        </w:rPr>
        <w:t>BEFORE THE ANNUAL MEETING OR ANY POSTPONEMENTS OR ADJOURNMENTS</w:t>
      </w:r>
    </w:p>
    <w:p>
      <w:pPr>
        <w:ind w:left="4860"/>
        <w:spacing w:after="0"/>
        <w:rPr>
          <w:sz w:val="20"/>
          <w:szCs w:val="20"/>
          <w:color w:val="auto"/>
        </w:rPr>
      </w:pPr>
      <w:r>
        <w:rPr>
          <w:rFonts w:ascii="Times New Roman" w:cs="Times New Roman" w:eastAsia="Times New Roman" w:hAnsi="Times New Roman"/>
          <w:sz w:val="13"/>
          <w:szCs w:val="13"/>
          <w:b w:val="1"/>
          <w:bCs w:val="1"/>
          <w:color w:val="auto"/>
        </w:rPr>
        <w:t>THEREOF.</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rFonts w:ascii="Wingdings" w:cs="Wingdings" w:eastAsia="Wingdings" w:hAnsi="Wingdings"/>
          <w:sz w:val="17"/>
          <w:szCs w:val="17"/>
          <w:b w:val="1"/>
          <w:bCs w:val="1"/>
          <w:color w:val="auto"/>
          <w:highlight w:val="black"/>
        </w:rPr>
        <w:t>o</w:t>
      </w:r>
    </w:p>
    <w:p>
      <w:pPr>
        <w:spacing w:after="0" w:line="2788" w:lineRule="exact"/>
        <w:rPr>
          <w:sz w:val="20"/>
          <w:szCs w:val="20"/>
          <w:color w:val="auto"/>
        </w:rPr>
      </w:pPr>
    </w:p>
    <w:p>
      <w:pPr>
        <w:sectPr>
          <w:pgSz w:w="11900" w:h="16838" w:orient="portrait"/>
          <w:cols w:equalWidth="0" w:num="2">
            <w:col w:w="10160" w:space="380"/>
            <w:col w:w="700"/>
          </w:cols>
          <w:pgMar w:left="340" w:top="1407" w:right="319" w:bottom="144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Signature of Stockholder</w:t>
      </w:r>
    </w:p>
    <w:p>
      <w:pPr>
        <w:spacing w:after="0" w:line="251" w:lineRule="exact"/>
        <w:rPr>
          <w:sz w:val="20"/>
          <w:szCs w:val="20"/>
          <w:color w:val="auto"/>
        </w:rPr>
      </w:pPr>
    </w:p>
    <w:p>
      <w:pPr>
        <w:ind w:left="220"/>
        <w:spacing w:after="0"/>
        <w:rPr>
          <w:sz w:val="20"/>
          <w:szCs w:val="20"/>
          <w:color w:val="auto"/>
        </w:rPr>
      </w:pPr>
      <w:r>
        <w:rPr>
          <w:rFonts w:ascii="Wingdings" w:cs="Wingdings" w:eastAsia="Wingdings" w:hAnsi="Wingdings"/>
          <w:sz w:val="18"/>
          <w:szCs w:val="18"/>
          <w:b w:val="1"/>
          <w:bCs w:val="1"/>
          <w:color w:val="auto"/>
        </w:rPr>
        <w:t>n</w:t>
      </w:r>
    </w:p>
    <w:p>
      <w:pPr>
        <w:jc w:val="right"/>
        <w:spacing w:after="0"/>
        <w:rPr>
          <w:sz w:val="20"/>
          <w:szCs w:val="20"/>
          <w:color w:val="auto"/>
        </w:rPr>
      </w:pPr>
      <w:r>
        <w:rPr>
          <w:rFonts w:ascii="Times New Roman" w:cs="Times New Roman" w:eastAsia="Times New Roman" w:hAnsi="Times New Roman"/>
          <w:sz w:val="14"/>
          <w:szCs w:val="14"/>
          <w:b w:val="1"/>
          <w:bCs w:val="1"/>
          <w:color w:val="auto"/>
        </w:rPr>
        <w:t>Note:</w:t>
      </w:r>
    </w:p>
    <w:p>
      <w:pPr>
        <w:spacing w:after="0" w:line="20" w:lineRule="exact"/>
        <w:rPr>
          <w:sz w:val="20"/>
          <w:szCs w:val="20"/>
          <w:color w:val="auto"/>
        </w:rPr>
      </w:pPr>
      <w:r>
        <w:rPr>
          <w:sz w:val="20"/>
          <w:szCs w:val="20"/>
          <w:color w:val="auto"/>
        </w:rPr>
        <w:br w:type="column"/>
      </w:r>
    </w:p>
    <w:p>
      <w:pPr>
        <w:spacing w:after="0" w:line="39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203"/>
        </w:trPr>
        <w:tc>
          <w:tcPr>
            <w:tcW w:w="168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7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Date:</w:t>
            </w:r>
          </w:p>
        </w:tc>
        <w:tc>
          <w:tcPr>
            <w:tcW w:w="840" w:type="dxa"/>
            <w:vAlign w:val="bottom"/>
            <w:tcBorders>
              <w:top w:val="single" w:sz="8" w:color="auto"/>
              <w:bottom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color w:val="auto"/>
              </w:rPr>
              <w:t>Signature of Stockholder</w:t>
            </w:r>
          </w:p>
        </w:tc>
        <w:tc>
          <w:tcPr>
            <w:tcW w:w="194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Date:</w:t>
            </w:r>
          </w:p>
        </w:tc>
        <w:tc>
          <w:tcPr>
            <w:tcW w:w="1060" w:type="dxa"/>
            <w:vAlign w:val="bottom"/>
            <w:tcBorders>
              <w:top w:val="single" w:sz="8" w:color="auto"/>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120" w:type="dxa"/>
            <w:vAlign w:val="bottom"/>
            <w:gridSpan w:val="6"/>
          </w:tcPr>
          <w:p>
            <w:pPr>
              <w:ind w:left="20"/>
              <w:spacing w:after="0"/>
              <w:rPr>
                <w:sz w:val="20"/>
                <w:szCs w:val="20"/>
                <w:color w:val="auto"/>
              </w:rPr>
            </w:pPr>
            <w:r>
              <w:rPr>
                <w:rFonts w:ascii="Times New Roman" w:cs="Times New Roman" w:eastAsia="Times New Roman" w:hAnsi="Times New Roman"/>
                <w:sz w:val="14"/>
                <w:szCs w:val="14"/>
                <w:color w:val="auto"/>
              </w:rPr>
              <w:t>Please sign exactly as your name or names appear on this Proxy. When shares are held jointly, each holder should sign. When signing as</w:t>
            </w:r>
          </w:p>
        </w:tc>
        <w:tc>
          <w:tcPr>
            <w:tcW w:w="1060" w:type="dxa"/>
            <w:vAlign w:val="bottom"/>
            <w:vMerge w:val="restart"/>
          </w:tcPr>
          <w:p>
            <w:pPr>
              <w:ind w:left="880"/>
              <w:spacing w:after="0"/>
              <w:rPr>
                <w:sz w:val="20"/>
                <w:szCs w:val="20"/>
                <w:color w:val="auto"/>
              </w:rPr>
            </w:pPr>
            <w:r>
              <w:rPr>
                <w:rFonts w:ascii="Wingdings" w:cs="Wingdings" w:eastAsia="Wingdings" w:hAnsi="Wingdings"/>
                <w:sz w:val="18"/>
                <w:szCs w:val="18"/>
                <w:b w:val="1"/>
                <w:bCs w:val="1"/>
                <w:color w:val="auto"/>
              </w:rPr>
              <w:t>n</w:t>
            </w:r>
          </w:p>
        </w:tc>
        <w:tc>
          <w:tcPr>
            <w:tcW w:w="0" w:type="dxa"/>
            <w:vAlign w:val="bottom"/>
          </w:tcPr>
          <w:p>
            <w:pPr>
              <w:spacing w:after="0"/>
              <w:rPr>
                <w:sz w:val="1"/>
                <w:szCs w:val="1"/>
                <w:color w:val="auto"/>
              </w:rPr>
            </w:pPr>
          </w:p>
        </w:tc>
      </w:tr>
      <w:tr>
        <w:trPr>
          <w:trHeight w:val="155"/>
        </w:trPr>
        <w:tc>
          <w:tcPr>
            <w:tcW w:w="8120" w:type="dxa"/>
            <w:vAlign w:val="bottom"/>
            <w:gridSpan w:val="6"/>
          </w:tcPr>
          <w:p>
            <w:pPr>
              <w:ind w:left="20"/>
              <w:spacing w:after="0" w:line="155" w:lineRule="exact"/>
              <w:rPr>
                <w:sz w:val="20"/>
                <w:szCs w:val="20"/>
                <w:color w:val="auto"/>
              </w:rPr>
            </w:pPr>
            <w:r>
              <w:rPr>
                <w:rFonts w:ascii="Times New Roman" w:cs="Times New Roman" w:eastAsia="Times New Roman" w:hAnsi="Times New Roman"/>
                <w:sz w:val="14"/>
                <w:szCs w:val="14"/>
                <w:color w:val="auto"/>
              </w:rPr>
              <w:t>executor, administrator, attorney, trustee or guardian, please give full title as such. If the signer is a corporation, please sign full corporate</w:t>
            </w: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4"/>
          <w:szCs w:val="14"/>
          <w:color w:val="auto"/>
        </w:rPr>
        <w:t>name by duly authorized officer, giving full title as such. If signer is a partnership, please sign in partnership name by authorized person.</w:t>
      </w:r>
    </w:p>
    <w:p>
      <w:pPr>
        <w:spacing w:after="0" w:line="200" w:lineRule="exact"/>
        <w:rPr>
          <w:sz w:val="20"/>
          <w:szCs w:val="20"/>
          <w:color w:val="auto"/>
        </w:rPr>
      </w:pPr>
    </w:p>
    <w:p>
      <w:pPr>
        <w:spacing w:after="0" w:line="397"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2">
        <w:col w:w="1700" w:space="360"/>
        <w:col w:w="9180"/>
      </w:cols>
      <w:pgMar w:left="340" w:top="1407"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
      <w:numFmt w:val="bullet"/>
      <w:start w:val="1"/>
    </w:lvl>
  </w:abstractNum>
  <w:abstractNum w:abstractNumId="1">
    <w:nsid w:val="70C6A529"/>
    <w:multiLevelType w:val="hybridMultilevel"/>
    <w:lvl w:ilvl="0">
      <w:lvlJc w:val="left"/>
      <w:lvlText w:val="x"/>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x"/>
      <w:numFmt w:val="bullet"/>
      <w:start w:val="1"/>
    </w:lvl>
  </w:abstractNum>
  <w:abstractNum w:abstractNumId="4">
    <w:nsid w:val="4F4EF005"/>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5">
    <w:nsid w:val="23F9C13C"/>
    <w:multiLevelType w:val="hybridMultilevel"/>
    <w:lvl w:ilvl="0">
      <w:lvlJc w:val="left"/>
      <w:lvlText w:val="☐"/>
      <w:numFmt w:val="bullet"/>
      <w:start w:val="1"/>
    </w:lvl>
    <w:lvl w:ilvl="1">
      <w:lvlJc w:val="left"/>
      <w:lvlText w:val="(%2)"/>
      <w:numFmt w:val="decimal"/>
      <w:start w:val="2"/>
    </w:lvl>
    <w:lvl w:ilvl="2">
      <w:lvlJc w:val="left"/>
      <w:lvlText w:val="%3"/>
      <w:numFmt w:val="decimal"/>
      <w:start w:val="1"/>
    </w:lvl>
  </w:abstractNum>
  <w:abstractNum w:abstractNumId="6">
    <w:nsid w:val="649BB77C"/>
    <w:multiLevelType w:val="hybridMultilevel"/>
    <w:lvl w:ilvl="0">
      <w:lvlJc w:val="left"/>
      <w:lvlText w:val="☐"/>
      <w:numFmt w:val="bullet"/>
      <w:start w:val="1"/>
    </w:lvl>
    <w:lvl w:ilvl="1">
      <w:lvlJc w:val="left"/>
      <w:lvlText w:val="(%2)"/>
      <w:numFmt w:val="decimal"/>
      <w:start w:val="1"/>
    </w:lvl>
    <w:lvl w:ilvl="2">
      <w:lvlJc w:val="left"/>
      <w:lvlText w:val="%3"/>
      <w:numFmt w:val="decimal"/>
      <w:start w:val="1"/>
    </w:lvl>
  </w:abstractNum>
  <w:abstractNum w:abstractNumId="7">
    <w:nsid w:val="275AC794"/>
    <w:multiLevelType w:val="hybridMultilevel"/>
    <w:lvl w:ilvl="0">
      <w:lvlJc w:val="left"/>
      <w:lvlText w:val="%1"/>
      <w:numFmt w:val="upperLetter"/>
      <w:start w:val="1"/>
    </w:lvl>
    <w:lvl w:ilvl="1">
      <w:lvlJc w:val="left"/>
      <w:lvlText w:val="%2:"/>
      <w:numFmt w:val="upperLetter"/>
      <w:start w:val="17"/>
    </w:lvl>
  </w:abstractNum>
  <w:abstractNum w:abstractNumId="8">
    <w:nsid w:val="39386575"/>
    <w:multiLevelType w:val="hybridMultilevel"/>
    <w:lvl w:ilvl="0">
      <w:lvlJc w:val="left"/>
      <w:lvlText w:val="%1:"/>
      <w:numFmt w:val="upperLetter"/>
      <w:start w:val="1"/>
    </w:lvl>
    <w:lvl w:ilvl="1">
      <w:lvlJc w:val="left"/>
      <w:lvlText w:val="%2:"/>
      <w:numFmt w:val="upperLetter"/>
      <w:start w:val="17"/>
    </w:lvl>
  </w:abstractNum>
  <w:abstractNum w:abstractNumId="9">
    <w:nsid w:val="1CF10FD8"/>
    <w:multiLevelType w:val="hybridMultilevel"/>
    <w:lvl w:ilvl="0">
      <w:lvlJc w:val="left"/>
      <w:lvlText w:val="%1:"/>
      <w:numFmt w:val="upperLetter"/>
      <w:start w:val="1"/>
    </w:lvl>
    <w:lvl w:ilvl="1">
      <w:lvlJc w:val="left"/>
      <w:lvlText w:val="%2:"/>
      <w:numFmt w:val="upperLetter"/>
      <w:start w:val="16"/>
    </w:lvl>
    <w:lvl w:ilvl="2">
      <w:lvlJc w:val="left"/>
      <w:lvlText w:val="•"/>
      <w:numFmt w:val="bullet"/>
      <w:start w:val="1"/>
    </w:lvl>
  </w:abstractNum>
  <w:abstractNum w:abstractNumId="10">
    <w:nsid w:val="180115BE"/>
    <w:multiLevelType w:val="hybridMultilevel"/>
    <w:lvl w:ilvl="0">
      <w:lvlJc w:val="left"/>
      <w:lvlText w:val="%1:"/>
      <w:numFmt w:val="upperLetter"/>
      <w:start w:val="1"/>
    </w:lvl>
    <w:lvl w:ilvl="1">
      <w:lvlJc w:val="left"/>
      <w:lvlText w:val="%2:"/>
      <w:numFmt w:val="upperLetter"/>
      <w:start w:val="17"/>
    </w:lvl>
  </w:abstractNum>
  <w:abstractNum w:abstractNumId="11">
    <w:nsid w:val="235BA861"/>
    <w:multiLevelType w:val="hybridMultilevel"/>
    <w:lvl w:ilvl="0">
      <w:lvlJc w:val="left"/>
      <w:lvlText w:val="%1:"/>
      <w:numFmt w:val="upperLetter"/>
      <w:start w:val="1"/>
    </w:lvl>
  </w:abstractNum>
  <w:abstractNum w:abstractNumId="12">
    <w:nsid w:val="47398C89"/>
    <w:multiLevelType w:val="hybridMultilevel"/>
    <w:lvl w:ilvl="0">
      <w:lvlJc w:val="left"/>
      <w:lvlText w:val="%1:"/>
      <w:numFmt w:val="upperLetter"/>
      <w:start w:val="17"/>
    </w:lvl>
  </w:abstractNum>
  <w:abstractNum w:abstractNumId="13">
    <w:nsid w:val="354FE9F9"/>
    <w:multiLevelType w:val="hybridMultilevel"/>
    <w:lvl w:ilvl="0">
      <w:lvlJc w:val="left"/>
      <w:lvlText w:val="%1:"/>
      <w:numFmt w:val="upperLetter"/>
      <w:start w:val="1"/>
    </w:lvl>
    <w:lvl w:ilvl="1">
      <w:lvlJc w:val="left"/>
      <w:lvlText w:val="%2:"/>
      <w:numFmt w:val="upperLetter"/>
      <w:start w:val="17"/>
    </w:lvl>
  </w:abstractNum>
  <w:abstractNum w:abstractNumId="14">
    <w:nsid w:val="15B5AF5C"/>
    <w:multiLevelType w:val="hybridMultilevel"/>
    <w:lvl w:ilvl="0">
      <w:lvlJc w:val="left"/>
      <w:lvlText w:val="%1:"/>
      <w:numFmt w:val="upperLetter"/>
      <w:start w:val="1"/>
    </w:lvl>
    <w:lvl w:ilvl="1">
      <w:lvlJc w:val="left"/>
      <w:lvlText w:val="%2:"/>
      <w:numFmt w:val="upperLetter"/>
      <w:start w:val="17"/>
    </w:lvl>
  </w:abstractNum>
  <w:abstractNum w:abstractNumId="15">
    <w:nsid w:val="741226BB"/>
    <w:multiLevelType w:val="hybridMultilevel"/>
    <w:lvl w:ilvl="0">
      <w:lvlJc w:val="left"/>
      <w:lvlText w:val="%1:"/>
      <w:numFmt w:val="upperLetter"/>
      <w:start w:val="1"/>
    </w:lvl>
    <w:lvl w:ilvl="1">
      <w:lvlJc w:val="left"/>
      <w:lvlText w:val="%2:"/>
      <w:numFmt w:val="upperLetter"/>
      <w:start w:val="17"/>
    </w:lvl>
  </w:abstractNum>
  <w:abstractNum w:abstractNumId="16">
    <w:nsid w:val="D34B6A8"/>
    <w:multiLevelType w:val="hybridMultilevel"/>
    <w:lvl w:ilvl="0">
      <w:lvlJc w:val="left"/>
      <w:lvlText w:val="%1:"/>
      <w:numFmt w:val="upperLetter"/>
      <w:start w:val="1"/>
    </w:lvl>
  </w:abstractNum>
  <w:abstractNum w:abstractNumId="17">
    <w:nsid w:val="10233C99"/>
    <w:multiLevelType w:val="hybridMultilevel"/>
    <w:lvl w:ilvl="0">
      <w:lvlJc w:val="left"/>
      <w:lvlText w:val="%1"/>
      <w:numFmt w:val="upperLetter"/>
      <w:start w:val="1"/>
    </w:lvl>
    <w:lvl w:ilvl="1">
      <w:lvlJc w:val="left"/>
      <w:lvlText w:val="%2:"/>
      <w:numFmt w:val="upperLetter"/>
      <w:start w:val="17"/>
    </w:lvl>
  </w:abstractNum>
  <w:abstractNum w:abstractNumId="18">
    <w:nsid w:val="3F6AB60F"/>
    <w:multiLevelType w:val="hybridMultilevel"/>
    <w:lvl w:ilvl="0">
      <w:lvlJc w:val="left"/>
      <w:lvlText w:val="%1:"/>
      <w:numFmt w:val="upperLetter"/>
      <w:start w:val="1"/>
    </w:lvl>
    <w:lvl w:ilvl="1">
      <w:lvlJc w:val="left"/>
      <w:lvlText w:val="%2:"/>
      <w:numFmt w:val="upperLetter"/>
      <w:start w:val="17"/>
    </w:lvl>
  </w:abstractNum>
  <w:abstractNum w:abstractNumId="19">
    <w:nsid w:val="61574095"/>
    <w:multiLevelType w:val="hybridMultilevel"/>
    <w:lvl w:ilvl="0">
      <w:lvlJc w:val="left"/>
      <w:lvlText w:val="%1:"/>
      <w:numFmt w:val="upperLetter"/>
      <w:start w:val="1"/>
    </w:lvl>
    <w:lvl w:ilvl="1">
      <w:lvlJc w:val="left"/>
      <w:lvlText w:val="%2:"/>
      <w:numFmt w:val="upperLetter"/>
      <w:start w:val="17"/>
    </w:lvl>
  </w:abstractNum>
  <w:abstractNum w:abstractNumId="20">
    <w:nsid w:val="7E0C57B1"/>
    <w:multiLevelType w:val="hybridMultilevel"/>
    <w:lvl w:ilvl="0">
      <w:lvlJc w:val="left"/>
      <w:lvlText w:val="%1:"/>
      <w:numFmt w:val="upperLetter"/>
      <w:start w:val="1"/>
    </w:lvl>
    <w:lvl w:ilvl="1">
      <w:lvlJc w:val="left"/>
      <w:lvlText w:val="•"/>
      <w:numFmt w:val="bullet"/>
      <w:start w:val="1"/>
    </w:lvl>
  </w:abstractNum>
  <w:abstractNum w:abstractNumId="21">
    <w:nsid w:val="77AE35EB"/>
    <w:multiLevelType w:val="hybridMultilevel"/>
    <w:lvl w:ilvl="0">
      <w:lvlJc w:val="left"/>
      <w:lvlText w:val="%1"/>
      <w:numFmt w:val="upperLetter"/>
      <w:start w:val="1"/>
    </w:lvl>
    <w:lvl w:ilvl="1">
      <w:lvlJc w:val="left"/>
      <w:lvlText w:val="%2:"/>
      <w:numFmt w:val="upperLetter"/>
      <w:start w:val="17"/>
    </w:lvl>
  </w:abstractNum>
  <w:abstractNum w:abstractNumId="22">
    <w:nsid w:val="579BE4F1"/>
    <w:multiLevelType w:val="hybridMultilevel"/>
    <w:lvl w:ilvl="0">
      <w:lvlJc w:val="left"/>
      <w:lvlText w:val="%1:"/>
      <w:numFmt w:val="upperLetter"/>
      <w:start w:val="1"/>
    </w:lvl>
    <w:lvl w:ilvl="1">
      <w:lvlJc w:val="left"/>
      <w:lvlText w:val="%2"/>
      <w:numFmt w:val="upperLetter"/>
      <w:start w:val="1"/>
    </w:lvl>
  </w:abstractNum>
  <w:abstractNum w:abstractNumId="23">
    <w:nsid w:val="310C50B3"/>
    <w:multiLevelType w:val="hybridMultilevel"/>
    <w:lvl w:ilvl="0">
      <w:lvlJc w:val="left"/>
      <w:lvlText w:val="%1:"/>
      <w:numFmt w:val="upperLetter"/>
      <w:start w:val="17"/>
    </w:lvl>
  </w:abstractNum>
  <w:abstractNum w:abstractNumId="24">
    <w:nsid w:val="5FF87E05"/>
    <w:multiLevelType w:val="hybridMultilevel"/>
    <w:lvl w:ilvl="0">
      <w:lvlJc w:val="left"/>
      <w:lvlText w:val="%1:"/>
      <w:numFmt w:val="upperLetter"/>
      <w:start w:val="1"/>
    </w:lvl>
  </w:abstractNum>
  <w:abstractNum w:abstractNumId="25">
    <w:nsid w:val="2F305DEF"/>
    <w:multiLevelType w:val="hybridMultilevel"/>
    <w:lvl w:ilvl="0">
      <w:lvlJc w:val="left"/>
      <w:lvlText w:val="%1:"/>
      <w:numFmt w:val="upperLetter"/>
      <w:start w:val="17"/>
    </w:lvl>
  </w:abstractNum>
  <w:abstractNum w:abstractNumId="26">
    <w:nsid w:val="25A70BF7"/>
    <w:multiLevelType w:val="hybridMultilevel"/>
    <w:lvl w:ilvl="0">
      <w:lvlJc w:val="left"/>
      <w:lvlText w:val="%1:"/>
      <w:numFmt w:val="upperLetter"/>
      <w:start w:val="1"/>
    </w:lvl>
  </w:abstractNum>
  <w:abstractNum w:abstractNumId="27">
    <w:nsid w:val="1DBABF00"/>
    <w:multiLevelType w:val="hybridMultilevel"/>
    <w:lvl w:ilvl="0">
      <w:lvlJc w:val="left"/>
      <w:lvlText w:val="%1:"/>
      <w:numFmt w:val="upperLetter"/>
      <w:start w:val="17"/>
    </w:lvl>
  </w:abstractNum>
  <w:abstractNum w:abstractNumId="28">
    <w:nsid w:val="4AD084E9"/>
    <w:multiLevelType w:val="hybridMultilevel"/>
    <w:lvl w:ilvl="0">
      <w:lvlJc w:val="left"/>
      <w:lvlText w:val="%1:"/>
      <w:numFmt w:val="upperLetter"/>
      <w:start w:val="1"/>
    </w:lvl>
    <w:lvl w:ilvl="1">
      <w:lvlJc w:val="left"/>
      <w:lvlText w:val="%2:"/>
      <w:numFmt w:val="upperLetter"/>
      <w:start w:val="17"/>
    </w:lvl>
  </w:abstractNum>
  <w:abstractNum w:abstractNumId="29">
    <w:nsid w:val="1F48EAA1"/>
    <w:multiLevelType w:val="hybridMultilevel"/>
    <w:lvl w:ilvl="0">
      <w:lvlJc w:val="left"/>
      <w:lvlText w:val="%1:"/>
      <w:numFmt w:val="upperLetter"/>
      <w:start w:val="1"/>
    </w:lvl>
  </w:abstractNum>
  <w:abstractNum w:abstractNumId="30">
    <w:nsid w:val="1381823A"/>
    <w:multiLevelType w:val="hybridMultilevel"/>
    <w:lvl w:ilvl="0">
      <w:lvlJc w:val="left"/>
      <w:lvlText w:val="M"/>
      <w:numFmt w:val="bullet"/>
      <w:start w:val="1"/>
    </w:lvl>
  </w:abstractNum>
  <w:abstractNum w:abstractNumId="31">
    <w:nsid w:val="5DB70AE5"/>
    <w:multiLevelType w:val="hybridMultilevel"/>
    <w:lvl w:ilvl="0">
      <w:lvlJc w:val="left"/>
      <w:lvlText w:val="(%1)"/>
      <w:numFmt w:val="decimal"/>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1."/>
      <w:numFmt w:val="decimal"/>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1)"/>
      <w:numFmt w:val="decimal"/>
      <w:start w:val="1"/>
    </w:lvl>
  </w:abstractNum>
  <w:abstractNum w:abstractNumId="40">
    <w:nsid w:val="168E121F"/>
    <w:multiLevelType w:val="hybridMultilevel"/>
    <w:lvl w:ilvl="0">
      <w:lvlJc w:val="left"/>
      <w:lvlText w:val="(%1)"/>
      <w:numFmt w:val="decimal"/>
      <w:start w:val="3"/>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
      <w:numFmt w:val="bullet"/>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1)"/>
      <w:numFmt w:val="decimal"/>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
      <w:numFmt w:val="bullet"/>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decimal"/>
      <w:start w:val="3"/>
    </w:lvl>
  </w:abstractNum>
  <w:abstractNum w:abstractNumId="54">
    <w:nsid w:val="3B0FD379"/>
    <w:multiLevelType w:val="hybridMultilevel"/>
    <w:lvl w:ilvl="0">
      <w:lvlJc w:val="left"/>
      <w:lvlText w:val="%1."/>
      <w:numFmt w:val="decimal"/>
      <w:start w:val="1"/>
    </w:lvl>
  </w:abstractNum>
  <w:abstractNum w:abstractNumId="55">
    <w:nsid w:val="68EB2F63"/>
    <w:multiLevelType w:val="hybridMultilevel"/>
    <w:lvl w:ilvl="0">
      <w:lvlJc w:val="left"/>
      <w:lvlText w:val="%1."/>
      <w:numFmt w:val="decimal"/>
      <w:start w:val="2"/>
    </w:lvl>
  </w:abstractNum>
  <w:abstractNum w:abstractNumId="56">
    <w:nsid w:val="4962813B"/>
    <w:multiLevelType w:val="hybridMultilevel"/>
    <w:lvl w:ilvl="0">
      <w:lvlJc w:val="left"/>
      <w:lvlText w:val="1"/>
      <w:numFmt w:val="bullet"/>
      <w:start w:val="1"/>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1)"/>
      <w:numFmt w:val="lowerRoman"/>
      <w:start w:val="2"/>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1)"/>
      <w:numFmt w:val="decimal"/>
      <w:start w:val="1"/>
    </w:lvl>
  </w:abstractNum>
  <w:abstractNum w:abstractNumId="63">
    <w:nsid w:val="100F59DC"/>
    <w:multiLevelType w:val="hybridMultilevel"/>
    <w:lvl w:ilvl="0">
      <w:lvlJc w:val="left"/>
      <w:lvlText w:val="(%1)"/>
      <w:numFmt w:val="decimal"/>
      <w:start w:val="4"/>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lvl w:ilvl="4">
      <w:lvlJc w:val="left"/>
      <w:lvlText w:val="%5."/>
      <w:numFmt w:val="lowerRoman"/>
      <w:start w:val="1"/>
    </w:lvl>
  </w:abstractNum>
  <w:abstractNum w:abstractNumId="66">
    <w:nsid w:val="6F6DD9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6"/>
    </w:lvl>
  </w:abstractNum>
  <w:abstractNum w:abstractNumId="67">
    <w:nsid w:val="94211F2"/>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Roman"/>
      <w:start w:val="1"/>
    </w:lvl>
    <w:lvl w:ilvl="4">
      <w:lvlJc w:val="left"/>
      <w:lvlText w:val="%5"/>
      <w:numFmt w:val="lowerRoman"/>
      <w:start w:val="1"/>
    </w:lvl>
  </w:abstractNum>
  <w:abstractNum w:abstractNumId="68">
    <w:nsid w:val="885E1B"/>
    <w:multiLevelType w:val="hybridMultilevel"/>
    <w:lvl w:ilvl="0">
      <w:lvlJc w:val="left"/>
      <w:lvlText w:val="%1."/>
      <w:numFmt w:val="lowerLetter"/>
      <w:start w:val="8"/>
    </w:lvl>
    <w:lvl w:ilvl="1">
      <w:lvlJc w:val="left"/>
      <w:lvlText w:val="%2."/>
      <w:numFmt w:val="lowerRoman"/>
      <w:start w:val="1"/>
    </w:lvl>
  </w:abstractNum>
  <w:abstractNum w:abstractNumId="69">
    <w:nsid w:val="76272110"/>
    <w:multiLevelType w:val="hybridMultilevel"/>
    <w:lvl w:ilvl="0">
      <w:lvlJc w:val="left"/>
      <w:lvlText w:val="%1."/>
      <w:numFmt w:val="lowerLetter"/>
      <w:start w:val="21"/>
    </w:lvl>
  </w:abstractNum>
  <w:abstractNum w:abstractNumId="70">
    <w:nsid w:val="4C04A8AF"/>
    <w:multiLevelType w:val="hybridMultilevel"/>
    <w:lvl w:ilvl="0">
      <w:lvlJc w:val="left"/>
      <w:lvlText w:val="%1."/>
      <w:numFmt w:val="lowerLetter"/>
      <w:start w:val="27"/>
    </w:lvl>
  </w:abstractNum>
  <w:abstractNum w:abstractNumId="71">
    <w:nsid w:val="1716703B"/>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72">
    <w:nsid w:val="14E17E33"/>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73">
    <w:nsid w:val="3222E7CD"/>
    <w:multiLevelType w:val="hybridMultilevel"/>
    <w:lvl w:ilvl="0">
      <w:lvlJc w:val="left"/>
      <w:lvlText w:val="%1"/>
      <w:numFmt w:val="decimal"/>
      <w:start w:val="1"/>
    </w:lvl>
    <w:lvl w:ilvl="1">
      <w:lvlJc w:val="left"/>
      <w:lvlText w:val="%2."/>
      <w:numFmt w:val="lowerLetter"/>
      <w:start w:val="3"/>
    </w:lvl>
  </w:abstractNum>
  <w:abstractNum w:abstractNumId="74">
    <w:nsid w:val="74DE0EE3"/>
    <w:multiLevelType w:val="hybridMultilevel"/>
    <w:lvl w:ilvl="0">
      <w:lvlJc w:val="left"/>
      <w:lvlText w:val="%1."/>
      <w:numFmt w:val="decimal"/>
      <w:start w:val="4"/>
    </w:lvl>
    <w:lvl w:ilvl="1">
      <w:lvlJc w:val="left"/>
      <w:lvlText w:val="%2"/>
      <w:numFmt w:val="lowerLetter"/>
      <w:start w:val="1"/>
    </w:lvl>
  </w:abstractNum>
  <w:abstractNum w:abstractNumId="75">
    <w:nsid w:val="68EBC550"/>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76">
    <w:nsid w:val="2DF6D6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77">
    <w:nsid w:val="46B7D44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78">
    <w:nsid w:val="4A2AC315"/>
    <w:multiLevelType w:val="hybridMultilevel"/>
    <w:lvl w:ilvl="0">
      <w:lvlJc w:val="left"/>
      <w:lvlText w:val="%1."/>
      <w:numFmt w:val="decimal"/>
      <w:start w:val="1"/>
    </w:lvl>
  </w:abstractNum>
  <w:abstractNum w:abstractNumId="79">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0">
    <w:nsid w:val="57FC4FB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81">
    <w:nsid w:val="CC1016F"/>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82">
    <w:nsid w:val="43F18422"/>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83">
    <w:nsid w:val="60EF0119"/>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84">
    <w:nsid w:val="26F324BA"/>
    <w:multiLevelType w:val="hybridMultilevel"/>
    <w:lvl w:ilvl="0">
      <w:lvlJc w:val="left"/>
      <w:lvlText w:val="%1."/>
      <w:numFmt w:val="decimal"/>
      <w:start w:val="8"/>
    </w:lvl>
  </w:abstractNum>
  <w:abstractNum w:abstractNumId="85">
    <w:nsid w:val="7F01579B"/>
    <w:multiLevelType w:val="hybridMultilevel"/>
    <w:lvl w:ilvl="0">
      <w:lvlJc w:val="left"/>
      <w:lvlText w:val="(%1)"/>
      <w:numFmt w:val="lowerLetter"/>
      <w:start w:val="2"/>
    </w:lvl>
  </w:abstractNum>
  <w:abstractNum w:abstractNumId="86">
    <w:nsid w:val="49DA307D"/>
    <w:multiLevelType w:val="hybridMultilevel"/>
    <w:lvl w:ilvl="0">
      <w:lvlJc w:val="left"/>
      <w:lvlText w:val="%1."/>
      <w:numFmt w:val="decimal"/>
      <w:start w:val="9"/>
    </w:lvl>
    <w:lvl w:ilvl="1">
      <w:lvlJc w:val="left"/>
      <w:lvlText w:val="%2."/>
      <w:numFmt w:val="decimal"/>
      <w:start w:val="1"/>
    </w:lvl>
  </w:abstractNum>
  <w:abstractNum w:abstractNumId="87">
    <w:nsid w:val="7055A5F5"/>
    <w:multiLevelType w:val="hybridMultilevel"/>
    <w:lvl w:ilvl="0">
      <w:lvlJc w:val="left"/>
      <w:lvlText w:val="%1"/>
      <w:numFmt w:val="decimal"/>
      <w:start w:val="1"/>
    </w:lvl>
    <w:lvl w:ilvl="1">
      <w:lvlJc w:val="left"/>
      <w:lvlText w:val="%2."/>
      <w:numFmt w:val="decimal"/>
      <w:start w:val="4"/>
    </w:lvl>
  </w:abstractNum>
  <w:abstractNum w:abstractNumId="88">
    <w:nsid w:val="5FB8370B"/>
    <w:multiLevelType w:val="hybridMultilevel"/>
    <w:lvl w:ilvl="0">
      <w:lvlJc w:val="left"/>
      <w:lvlText w:val="%1."/>
      <w:numFmt w:val="decimal"/>
      <w:start w:val="10"/>
    </w:lvl>
    <w:lvl w:ilvl="1">
      <w:lvlJc w:val="left"/>
      <w:lvlText w:val="%2"/>
      <w:numFmt w:val="decimal"/>
      <w:start w:val="1"/>
    </w:lvl>
  </w:abstractNum>
  <w:abstractNum w:abstractNumId="89">
    <w:nsid w:val="50801EE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90">
    <w:nsid w:val="488AC1A"/>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abstractNum>
  <w:abstractNum w:abstractNumId="91">
    <w:nsid w:val="5FB8011C"/>
    <w:multiLevelType w:val="hybridMultilevel"/>
    <w:lvl w:ilvl="0">
      <w:lvlJc w:val="left"/>
      <w:lvlText w:val="%1."/>
      <w:numFmt w:val="decimal"/>
      <w:start w:val="2"/>
    </w:lvl>
    <w:lvl w:ilvl="1">
      <w:lvlJc w:val="left"/>
      <w:lvlText w:val="%2."/>
      <w:numFmt w:val="lowerLetter"/>
      <w:start w:val="1"/>
    </w:lvl>
  </w:abstractNum>
  <w:abstractNum w:abstractNumId="92">
    <w:nsid w:val="6AA78F7F"/>
    <w:multiLevelType w:val="hybridMultilevel"/>
    <w:lvl w:ilvl="0">
      <w:lvlJc w:val="left"/>
      <w:lvlText w:val="%1."/>
      <w:numFmt w:val="decimal"/>
      <w:start w:val="3"/>
    </w:lvl>
  </w:abstractNum>
  <w:abstractNum w:abstractNumId="93">
    <w:nsid w:val="7672BD23"/>
    <w:multiLevelType w:val="hybridMultilevel"/>
    <w:lvl w:ilvl="0">
      <w:lvlJc w:val="left"/>
      <w:lvlText w:val="%1."/>
      <w:numFmt w:val="decimal"/>
      <w:start w:val="13"/>
    </w:lvl>
    <w:lvl w:ilvl="1">
      <w:lvlJc w:val="left"/>
      <w:lvlText w:val="%2."/>
      <w:numFmt w:val="decimal"/>
      <w:start w:val="1"/>
    </w:lvl>
  </w:abstractNum>
  <w:abstractNum w:abstractNumId="94">
    <w:nsid w:val="6FC75AF8"/>
    <w:multiLevelType w:val="hybridMultilevel"/>
    <w:lvl w:ilvl="0">
      <w:lvlJc w:val="left"/>
      <w:lvlText w:val="%1."/>
      <w:numFmt w:val="decimal"/>
      <w:start w:val="15"/>
    </w:lvl>
  </w:abstractNum>
  <w:abstractNum w:abstractNumId="95">
    <w:nsid w:val="6A5F7029"/>
    <w:multiLevelType w:val="hybridMultilevel"/>
    <w:lvl w:ilvl="0">
      <w:lvlJc w:val="left"/>
      <w:lvlText w:val="%1."/>
      <w:numFmt w:val="decimal"/>
      <w:start w:val="16"/>
    </w:lvl>
    <w:lvl w:ilvl="1">
      <w:lvlJc w:val="left"/>
      <w:lvlText w:val="%2."/>
      <w:numFmt w:val="decimal"/>
      <w:start w:val="1"/>
    </w:lvl>
    <w:lvl w:ilvl="2">
      <w:lvlJc w:val="left"/>
      <w:lvlText w:val="%3."/>
      <w:numFmt w:val="lowerLetter"/>
      <w:start w:val="1"/>
    </w:lvl>
  </w:abstractNum>
  <w:abstractNum w:abstractNumId="96">
    <w:nsid w:val="7D5E18F8"/>
    <w:multiLevelType w:val="hybridMultilevel"/>
    <w:lvl w:ilvl="0">
      <w:lvlJc w:val="left"/>
      <w:lvlText w:val="%1"/>
      <w:numFmt w:val="decimal"/>
      <w:start w:val="1"/>
    </w:lvl>
    <w:lvl w:ilvl="1">
      <w:lvlJc w:val="left"/>
      <w:lvlText w:val="%2."/>
      <w:numFmt w:val="decimal"/>
      <w:start w:val="2"/>
    </w:lvl>
  </w:abstractNum>
  <w:abstractNum w:abstractNumId="97">
    <w:nsid w:val="5F3534A4"/>
    <w:multiLevelType w:val="hybridMultilevel"/>
    <w:lvl w:ilvl="0">
      <w:lvlJc w:val="left"/>
      <w:lvlText w:val="%1."/>
      <w:numFmt w:val="decimal"/>
      <w:start w:val="18"/>
    </w:lvl>
    <w:lvl w:ilvl="1">
      <w:lvlJc w:val="left"/>
      <w:lvlText w:val="%2"/>
      <w:numFmt w:val="decimal"/>
      <w:start w:val="1"/>
    </w:lvl>
  </w:abstractNum>
  <w:abstractNum w:abstractNumId="98">
    <w:nsid w:val="73A1821B"/>
    <w:multiLevelType w:val="hybridMultilevel"/>
    <w:lvl w:ilvl="0">
      <w:lvlJc w:val="left"/>
      <w:lvlText w:val="%1."/>
      <w:numFmt w:val="decimal"/>
      <w:start w:val="19"/>
    </w:lvl>
  </w:abstractNum>
  <w:abstractNum w:abstractNumId="99">
    <w:nsid w:val="7DE67713"/>
    <w:multiLevelType w:val="hybridMultilevel"/>
    <w:lvl w:ilvl="0">
      <w:lvlJc w:val="left"/>
      <w:lvlText w:val="%1."/>
      <w:numFmt w:val="decimal"/>
      <w:start w:val="20"/>
    </w:lvl>
  </w:abstractNum>
  <w:abstractNum w:abstractNumId="100">
    <w:nsid w:val="555C55B5"/>
    <w:multiLevelType w:val="hybridMultilevel"/>
    <w:lvl w:ilvl="0">
      <w:lvlJc w:val="left"/>
      <w:lvlText w:val="%1."/>
      <w:numFmt w:val="decimal"/>
      <w:start w:val="21"/>
    </w:lvl>
  </w:abstractNum>
  <w:abstractNum w:abstractNumId="101">
    <w:nsid w:val="3FA62ACA"/>
    <w:multiLevelType w:val="hybridMultilevel"/>
    <w:lvl w:ilvl="0">
      <w:lvlJc w:val="left"/>
      <w:lvlText w:val="%1."/>
      <w:numFmt w:val="decimal"/>
      <w:start w:val="22"/>
    </w:lvl>
  </w:abstractNum>
  <w:abstractNum w:abstractNumId="102">
    <w:nsid w:val="14FCE74E"/>
    <w:multiLevelType w:val="hybridMultilevel"/>
    <w:lvl w:ilvl="0">
      <w:lvlJc w:val="left"/>
      <w:lvlText w:val="%1."/>
      <w:numFmt w:val="decimal"/>
      <w:start w:val="1"/>
    </w:lvl>
  </w:abstractNum>
  <w:abstractNum w:abstractNumId="103">
    <w:nsid w:val="6A3DD3E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2023-03-17T17:28:25Z</dcterms:created>
  <dcterms:modified xsi:type="dcterms:W3CDTF">2023-03-17T17:28:25Z</dcterms:modified>
</cp:coreProperties>
</file>