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4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341" w:lineRule="exact"/>
        <w:rPr>
          <w:sz w:val="24"/>
          <w:szCs w:val="24"/>
          <w:color w:val="auto"/>
        </w:rPr>
      </w:pPr>
    </w:p>
    <w:p>
      <w:pPr>
        <w:ind w:left="40"/>
        <w:spacing w:after="0" w:line="161" w:lineRule="exact"/>
        <w:tabs>
          <w:tab w:leader="none" w:pos="250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4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53"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262"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258"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71"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5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42" w:lineRule="exact"/>
        <w:rPr>
          <w:sz w:val="24"/>
          <w:szCs w:val="24"/>
          <w:color w:val="auto"/>
        </w:rPr>
      </w:pPr>
    </w:p>
    <w:p>
      <w:pPr>
        <w:ind w:left="480" w:hanging="454"/>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200" w:lineRule="exact"/>
        <w:rPr>
          <w:sz w:val="24"/>
          <w:szCs w:val="24"/>
          <w:color w:val="auto"/>
        </w:rPr>
      </w:pPr>
    </w:p>
    <w:p>
      <w:pPr>
        <w:spacing w:after="0" w:line="206"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365"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4" w:lineRule="exact"/>
        <w:rPr>
          <w:rFonts w:ascii="Arial" w:cs="Arial" w:eastAsia="Arial" w:hAnsi="Arial"/>
          <w:sz w:val="14"/>
          <w:szCs w:val="14"/>
          <w:color w:val="auto"/>
        </w:rPr>
      </w:pPr>
    </w:p>
    <w:p>
      <w:pPr>
        <w:ind w:left="940" w:hanging="469"/>
        <w:spacing w:after="0"/>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40" w:hanging="469"/>
        <w:spacing w:after="0" w:line="236" w:lineRule="auto"/>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4" w:lineRule="exact"/>
        <w:rPr>
          <w:rFonts w:ascii="Arial" w:cs="Arial" w:eastAsia="Arial" w:hAnsi="Arial"/>
          <w:sz w:val="14"/>
          <w:szCs w:val="14"/>
          <w:color w:val="auto"/>
        </w:rPr>
      </w:pPr>
    </w:p>
    <w:p>
      <w:pPr>
        <w:ind w:left="940" w:hanging="469"/>
        <w:spacing w:after="0"/>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60" w:hanging="489"/>
        <w:spacing w:after="0"/>
        <w:tabs>
          <w:tab w:leader="none" w:pos="960" w:val="left"/>
        </w:tabs>
        <w:numPr>
          <w:ilvl w:val="1"/>
          <w:numId w:val="6"/>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-2395855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-1744345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044" w:right="559" w:bottom="1440" w:gutter="0" w:footer="0" w:header="0"/>
        </w:sectPr>
      </w:pPr>
    </w:p>
    <w:bookmarkStart w:id="1" w:name="page2"/>
    <w:bookmarkEnd w:id="1"/>
    <w:p>
      <w:pPr>
        <w:ind w:left="454" w:hanging="454"/>
        <w:spacing w:after="0"/>
        <w:tabs>
          <w:tab w:leader="none" w:pos="45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Fee paid previously with preliminary materials.</w:t>
      </w:r>
    </w:p>
    <w:p>
      <w:pPr>
        <w:spacing w:after="0" w:line="352" w:lineRule="exact"/>
        <w:rPr>
          <w:rFonts w:ascii="MS PGothic" w:cs="MS PGothic" w:eastAsia="MS PGothic" w:hAnsi="MS PGothic"/>
          <w:sz w:val="14"/>
          <w:szCs w:val="14"/>
          <w:color w:val="auto"/>
        </w:rPr>
      </w:pPr>
    </w:p>
    <w:p>
      <w:pPr>
        <w:ind w:left="454" w:hanging="454"/>
        <w:spacing w:after="0" w:line="236" w:lineRule="auto"/>
        <w:tabs>
          <w:tab w:leader="none" w:pos="45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1" w:lineRule="exact"/>
        <w:rPr>
          <w:rFonts w:ascii="MS PGothic" w:cs="MS PGothic" w:eastAsia="MS PGothic" w:hAnsi="MS PGothic"/>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8" w:lineRule="exact"/>
        <w:rPr>
          <w:rFonts w:ascii="Arial" w:cs="Arial" w:eastAsia="Arial" w:hAnsi="Arial"/>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-1641475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-989965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-355600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278130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4"/>
          </w:cols>
          <w:pgMar w:left="346" w:top="1417" w:right="439" w:bottom="1440" w:gutter="0" w:footer="0" w:header="0"/>
        </w:sectPr>
      </w:pPr>
    </w:p>
    <w:bookmarkStart w:id="2" w:name="page3"/>
    <w:bookmarkEnd w:id="2"/>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0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23" w:lineRule="exact"/>
        <w:rPr>
          <w:sz w:val="20"/>
          <w:szCs w:val="20"/>
          <w:color w:val="auto"/>
        </w:rPr>
      </w:pPr>
    </w:p>
    <w:p>
      <w:pPr>
        <w:ind w:firstLine="405"/>
        <w:spacing w:after="0"/>
        <w:rPr>
          <w:sz w:val="20"/>
          <w:szCs w:val="20"/>
          <w:color w:val="auto"/>
        </w:rPr>
      </w:pPr>
      <w:r>
        <w:rPr>
          <w:rFonts w:ascii="Arial" w:cs="Arial" w:eastAsia="Arial" w:hAnsi="Arial"/>
          <w:sz w:val="18"/>
          <w:szCs w:val="18"/>
          <w:color w:val="auto"/>
        </w:rPr>
        <w:t xml:space="preserve">You are cordially invited to virtually attend the 2021 Annual Meeting of Stockholders of Westwood Holdings Group, Inc., which will be held online on Wednesday, April 28, 2021, at 10:00 a.m., Central Time, at </w:t>
      </w:r>
      <w:r>
        <w:rPr>
          <w:rFonts w:ascii="Arial" w:cs="Arial" w:eastAsia="Arial" w:hAnsi="Arial"/>
          <w:sz w:val="18"/>
          <w:szCs w:val="18"/>
          <w:i w:val="1"/>
          <w:iCs w:val="1"/>
          <w:color w:val="auto"/>
        </w:rPr>
        <w:t>www.virtualshareholdermeeting.com/WHG2021</w:t>
      </w:r>
      <w:r>
        <w:rPr>
          <w:rFonts w:ascii="Arial" w:cs="Arial" w:eastAsia="Arial" w:hAnsi="Arial"/>
          <w:sz w:val="18"/>
          <w:szCs w:val="18"/>
          <w:color w:val="auto"/>
        </w:rPr>
        <w:t>. The official Notice of Annual Meeting together with a proxy statement and proxy card are enclosed. Please give this information your careful attention.</w:t>
      </w:r>
    </w:p>
    <w:p>
      <w:pPr>
        <w:spacing w:after="0" w:line="80"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assure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37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Sincerely,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-87630</wp:posOffset>
            </wp:positionV>
            <wp:extent cx="97726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O. Casey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60"/>
        <w:spacing w:after="0"/>
        <w:rPr>
          <w:sz w:val="20"/>
          <w:szCs w:val="20"/>
          <w:color w:val="auto"/>
        </w:rPr>
      </w:pPr>
      <w:r>
        <w:rPr>
          <w:rFonts w:ascii="Arial" w:cs="Arial" w:eastAsia="Arial" w:hAnsi="Arial"/>
          <w:sz w:val="12"/>
          <w:szCs w:val="12"/>
          <w:color w:val="auto"/>
        </w:rPr>
        <w:t>WESTWOOD MANAGEMENT • WESTWOOD TRUST • WESTWOOD ADVISORS</w:t>
      </w:r>
    </w:p>
    <w:p>
      <w:pPr>
        <w:spacing w:after="0" w:line="7" w:lineRule="exact"/>
        <w:rPr>
          <w:sz w:val="20"/>
          <w:szCs w:val="20"/>
          <w:color w:val="auto"/>
        </w:rPr>
      </w:pPr>
    </w:p>
    <w:p>
      <w:pPr>
        <w:jc w:val="center"/>
        <w:ind w:right="860"/>
        <w:spacing w:after="0"/>
        <w:rPr>
          <w:sz w:val="20"/>
          <w:szCs w:val="20"/>
          <w:color w:val="auto"/>
        </w:rPr>
      </w:pPr>
      <w:r>
        <w:rPr>
          <w:rFonts w:ascii="Arial" w:cs="Arial" w:eastAsia="Arial" w:hAnsi="Arial"/>
          <w:sz w:val="12"/>
          <w:szCs w:val="12"/>
          <w:color w:val="auto"/>
        </w:rPr>
        <w:t>200 CRESCENT COURT, SUITE 1200 • DALLAS, TEXAS 75201 • T.214.756.6900 • F.214.756.6979 • westwoodgroup.com</w:t>
      </w:r>
    </w:p>
    <w:p>
      <w:pPr>
        <w:sectPr>
          <w:pgSz w:w="11900" w:h="16838" w:orient="portrait"/>
          <w:cols w:equalWidth="0" w:num="1">
            <w:col w:w="11080"/>
          </w:cols>
          <w:pgMar w:left="320" w:top="1440"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40" w:type="dxa"/>
            <w:vAlign w:val="bottom"/>
          </w:tcPr>
          <w:p>
            <w:pPr>
              <w:ind w:left="1640"/>
              <w:spacing w:after="0"/>
              <w:rPr>
                <w:sz w:val="20"/>
                <w:szCs w:val="20"/>
                <w:color w:val="auto"/>
              </w:rPr>
            </w:pPr>
            <w:r>
              <w:rPr>
                <w:rFonts w:ascii="Arial" w:cs="Arial" w:eastAsia="Arial" w:hAnsi="Arial"/>
                <w:sz w:val="14"/>
                <w:szCs w:val="14"/>
                <w:b w:val="1"/>
                <w:bCs w:val="1"/>
                <w:color w:val="auto"/>
              </w:rPr>
              <w:t>TABLE OF CONTENTS</w:t>
            </w:r>
          </w:p>
        </w:tc>
        <w:tc>
          <w:tcPr>
            <w:tcW w:w="640" w:type="dxa"/>
            <w:vAlign w:val="bottom"/>
          </w:tcPr>
          <w:p>
            <w:pPr>
              <w:spacing w:after="0"/>
              <w:rPr>
                <w:sz w:val="16"/>
                <w:szCs w:val="16"/>
                <w:color w:val="auto"/>
              </w:rPr>
            </w:pPr>
          </w:p>
        </w:tc>
      </w:tr>
      <w:tr>
        <w:trPr>
          <w:trHeight w:val="425"/>
        </w:trPr>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Page</w:t>
            </w:r>
          </w:p>
        </w:tc>
      </w:tr>
      <w:tr>
        <w:trPr>
          <w:trHeight w:val="209"/>
        </w:trPr>
        <w:tc>
          <w:tcPr>
            <w:tcW w:w="10280" w:type="dxa"/>
            <w:vAlign w:val="bottom"/>
            <w:gridSpan w:val="3"/>
          </w:tcPr>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NOTICE OF ANNUAL MEETING OF STOCKHOLDERS</w:t>
              </w:r>
            </w:hyperlink>
          </w:p>
        </w:tc>
        <w:tc>
          <w:tcPr>
            <w:tcW w:w="640" w:type="dxa"/>
            <w:vAlign w:val="bottom"/>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i</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NOTICE OF INTERNET AVAILABILITY OF PROXY MATERIALS</w:t>
              </w:r>
            </w:hyperlink>
          </w:p>
        </w:tc>
        <w:tc>
          <w:tcPr>
            <w:tcW w:w="640" w:type="dxa"/>
            <w:vAlign w:val="bottom"/>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ii</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GENERAL QUESTIONS AND ANSWERS</w:t>
              </w:r>
            </w:hyperlink>
          </w:p>
        </w:tc>
        <w:tc>
          <w:tcPr>
            <w:tcW w:w="64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1</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The Annual Meeting</w:t>
              </w:r>
            </w:hyperlink>
          </w:p>
        </w:tc>
        <w:tc>
          <w:tcPr>
            <w:tcW w:w="64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1</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Procedures for Voting</w:t>
              </w:r>
            </w:hyperlink>
          </w:p>
        </w:tc>
        <w:tc>
          <w:tcPr>
            <w:tcW w:w="640" w:type="dxa"/>
            <w:vAlign w:val="bottom"/>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3</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Our Current Stock Ownership</w:t>
              </w:r>
            </w:hyperlink>
          </w:p>
        </w:tc>
        <w:tc>
          <w:tcPr>
            <w:tcW w:w="640" w:type="dxa"/>
            <w:vAlign w:val="bottom"/>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3</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Other Information</w:t>
              </w:r>
            </w:hyperlink>
          </w:p>
        </w:tc>
        <w:tc>
          <w:tcPr>
            <w:tcW w:w="640" w:type="dxa"/>
            <w:vAlign w:val="bottom"/>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4</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PROPOSAL 1: ELECTION OF DIRECTORS</w:t>
              </w:r>
            </w:hyperlink>
          </w:p>
        </w:tc>
        <w:tc>
          <w:tcPr>
            <w:tcW w:w="640" w:type="dxa"/>
            <w:vAlign w:val="bottom"/>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6</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Nominees</w:t>
              </w:r>
            </w:hyperlink>
          </w:p>
        </w:tc>
        <w:tc>
          <w:tcPr>
            <w:tcW w:w="640" w:type="dxa"/>
            <w:vAlign w:val="bottom"/>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6</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Corporate Governance Information</w:t>
              </w:r>
            </w:hyperlink>
          </w:p>
        </w:tc>
        <w:tc>
          <w:tcPr>
            <w:tcW w:w="640" w:type="dxa"/>
            <w:vAlign w:val="bottom"/>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8</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Director Compensation</w:t>
              </w:r>
            </w:hyperlink>
          </w:p>
        </w:tc>
        <w:tc>
          <w:tcPr>
            <w:tcW w:w="640" w:type="dxa"/>
            <w:vAlign w:val="bottom"/>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11</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EXECUTIVE OFFICERS</w:t>
              </w:r>
            </w:hyperlink>
          </w:p>
        </w:tc>
        <w:tc>
          <w:tcPr>
            <w:tcW w:w="640" w:type="dxa"/>
            <w:vAlign w:val="bottom"/>
          </w:tcPr>
          <w:p>
            <w:pPr>
              <w:jc w:val="right"/>
              <w:spacing w:after="0"/>
              <w:rPr>
                <w:rFonts w:ascii="Arial" w:cs="Arial" w:eastAsia="Arial" w:hAnsi="Arial"/>
                <w:sz w:val="16"/>
                <w:szCs w:val="16"/>
                <w:color w:val="0000FF"/>
              </w:rPr>
            </w:pPr>
            <w:hyperlink w:anchor="page18">
              <w:r>
                <w:rPr>
                  <w:rFonts w:ascii="Arial" w:cs="Arial" w:eastAsia="Arial" w:hAnsi="Arial"/>
                  <w:sz w:val="16"/>
                  <w:szCs w:val="16"/>
                  <w:color w:val="0000FF"/>
                </w:rPr>
                <w:t>13</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EXECUTIVE COMPENSATION</w:t>
              </w:r>
            </w:hyperlink>
          </w:p>
        </w:tc>
        <w:tc>
          <w:tcPr>
            <w:tcW w:w="640" w:type="dxa"/>
            <w:vAlign w:val="bottom"/>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14</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Compensation Discussion and Analysis</w:t>
              </w:r>
            </w:hyperlink>
          </w:p>
        </w:tc>
        <w:tc>
          <w:tcPr>
            <w:tcW w:w="640" w:type="dxa"/>
            <w:vAlign w:val="bottom"/>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14</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Compensation Committee Report</w:t>
              </w:r>
            </w:hyperlink>
          </w:p>
        </w:tc>
        <w:tc>
          <w:tcPr>
            <w:tcW w:w="640" w:type="dxa"/>
            <w:vAlign w:val="bottom"/>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27</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Summary Compensation Table</w:t>
              </w:r>
            </w:hyperlink>
          </w:p>
        </w:tc>
        <w:tc>
          <w:tcPr>
            <w:tcW w:w="640" w:type="dxa"/>
            <w:vAlign w:val="bottom"/>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28</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Grants of Plan-Based Awards</w:t>
              </w:r>
            </w:hyperlink>
          </w:p>
        </w:tc>
        <w:tc>
          <w:tcPr>
            <w:tcW w:w="640" w:type="dxa"/>
            <w:vAlign w:val="bottom"/>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30</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Outstanding Equity Awards at Fiscal Year-End</w:t>
              </w:r>
            </w:hyperlink>
          </w:p>
        </w:tc>
        <w:tc>
          <w:tcPr>
            <w:tcW w:w="640" w:type="dxa"/>
            <w:vAlign w:val="bottom"/>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32</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Stock Vested</w:t>
              </w:r>
            </w:hyperlink>
          </w:p>
        </w:tc>
        <w:tc>
          <w:tcPr>
            <w:tcW w:w="640" w:type="dxa"/>
            <w:vAlign w:val="bottom"/>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33</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Potential Payments Upon Termination or Change in Control</w:t>
              </w:r>
            </w:hyperlink>
          </w:p>
        </w:tc>
        <w:tc>
          <w:tcPr>
            <w:tcW w:w="640" w:type="dxa"/>
            <w:vAlign w:val="bottom"/>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33</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PROPOSAL 2: RATIFICATION OF APPOINTMENT OF DELOITTE &amp; TOUCHE LLP AS INDEPENDENT AUDITORS</w:t>
              </w:r>
            </w:hyperlink>
          </w:p>
        </w:tc>
        <w:tc>
          <w:tcPr>
            <w:tcW w:w="640" w:type="dxa"/>
            <w:vAlign w:val="bottom"/>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38</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Fees Billed by Independent Registered Public Accounting Firms</w:t>
              </w:r>
            </w:hyperlink>
          </w:p>
        </w:tc>
        <w:tc>
          <w:tcPr>
            <w:tcW w:w="640" w:type="dxa"/>
            <w:vAlign w:val="bottom"/>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38</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Vote Sought and Recommendation</w:t>
              </w:r>
            </w:hyperlink>
          </w:p>
        </w:tc>
        <w:tc>
          <w:tcPr>
            <w:tcW w:w="640" w:type="dxa"/>
            <w:vAlign w:val="bottom"/>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38</w:t>
              </w:r>
            </w:hyperlink>
          </w:p>
        </w:tc>
      </w:tr>
      <w:tr>
        <w:trPr>
          <w:trHeight w:val="235"/>
        </w:trPr>
        <w:tc>
          <w:tcPr>
            <w:tcW w:w="10280" w:type="dxa"/>
            <w:vAlign w:val="bottom"/>
            <w:gridSpan w:val="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 xml:space="preserve">PROPOSAL 3: TO APPROVE THE EIGHTH </w:t>
              </w:r>
              <w:r>
                <w:rPr>
                  <w:rFonts w:ascii="Arial" w:cs="Arial" w:eastAsia="Arial" w:hAnsi="Arial"/>
                  <w:sz w:val="16"/>
                  <w:szCs w:val="16"/>
                  <w:u w:val="single" w:color="auto"/>
                  <w:color w:val="0000FF"/>
                </w:rPr>
                <w:t>AMENDED AND RESTATED WESTWOOD HOLDINGS GROUP, INC. STOCK INCENTIVE PLAN</w:t>
              </w:r>
            </w:hyperlink>
          </w:p>
        </w:tc>
        <w:tc>
          <w:tcPr>
            <w:tcW w:w="640" w:type="dxa"/>
            <w:vAlign w:val="bottom"/>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39</w:t>
              </w:r>
            </w:hyperlink>
          </w:p>
        </w:tc>
      </w:tr>
      <w:tr>
        <w:trPr>
          <w:trHeight w:val="20"/>
        </w:trPr>
        <w:tc>
          <w:tcPr>
            <w:tcW w:w="16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0"/>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Description of the Eighth Amended and Restated Plan</w:t>
              </w:r>
            </w:hyperlink>
          </w:p>
        </w:tc>
        <w:tc>
          <w:tcPr>
            <w:tcW w:w="640" w:type="dxa"/>
            <w:vAlign w:val="bottom"/>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39</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Types of Awards</w:t>
              </w:r>
            </w:hyperlink>
          </w:p>
        </w:tc>
        <w:tc>
          <w:tcPr>
            <w:tcW w:w="640" w:type="dxa"/>
            <w:vAlign w:val="bottom"/>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40</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Material Federal Income Tax Consequences of the Plan</w:t>
              </w:r>
            </w:hyperlink>
          </w:p>
        </w:tc>
        <w:tc>
          <w:tcPr>
            <w:tcW w:w="640" w:type="dxa"/>
            <w:vAlign w:val="bottom"/>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41</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Vote Sought and Recommendation</w:t>
              </w:r>
            </w:hyperlink>
          </w:p>
        </w:tc>
        <w:tc>
          <w:tcPr>
            <w:tcW w:w="640" w:type="dxa"/>
            <w:vAlign w:val="bottom"/>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43</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PROPOSAL 4: TO CAST A NON-BINDING, ADVISORY VOTE ON THE COMPANY'S EXECUTIVE COMPENSATION</w:t>
              </w:r>
            </w:hyperlink>
          </w:p>
        </w:tc>
        <w:tc>
          <w:tcPr>
            <w:tcW w:w="640" w:type="dxa"/>
            <w:vAlign w:val="bottom"/>
          </w:tcPr>
          <w:p>
            <w:pPr>
              <w:jc w:val="right"/>
              <w:spacing w:after="0"/>
              <w:rPr>
                <w:rFonts w:ascii="Arial" w:cs="Arial" w:eastAsia="Arial" w:hAnsi="Arial"/>
                <w:sz w:val="16"/>
                <w:szCs w:val="16"/>
                <w:color w:val="0000FF"/>
              </w:rPr>
            </w:pPr>
            <w:hyperlink w:anchor="page49">
              <w:r>
                <w:rPr>
                  <w:rFonts w:ascii="Arial" w:cs="Arial" w:eastAsia="Arial" w:hAnsi="Arial"/>
                  <w:sz w:val="16"/>
                  <w:szCs w:val="16"/>
                  <w:color w:val="0000FF"/>
                </w:rPr>
                <w:t>44</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Advisory Vote on Executive Compensation</w:t>
              </w:r>
            </w:hyperlink>
          </w:p>
        </w:tc>
        <w:tc>
          <w:tcPr>
            <w:tcW w:w="640" w:type="dxa"/>
            <w:vAlign w:val="bottom"/>
          </w:tcPr>
          <w:p>
            <w:pPr>
              <w:jc w:val="right"/>
              <w:spacing w:after="0"/>
              <w:rPr>
                <w:rFonts w:ascii="Arial" w:cs="Arial" w:eastAsia="Arial" w:hAnsi="Arial"/>
                <w:sz w:val="16"/>
                <w:szCs w:val="16"/>
                <w:color w:val="0000FF"/>
              </w:rPr>
            </w:pPr>
            <w:hyperlink w:anchor="page49">
              <w:r>
                <w:rPr>
                  <w:rFonts w:ascii="Arial" w:cs="Arial" w:eastAsia="Arial" w:hAnsi="Arial"/>
                  <w:sz w:val="16"/>
                  <w:szCs w:val="16"/>
                  <w:color w:val="0000FF"/>
                </w:rPr>
                <w:t>44</w:t>
              </w:r>
            </w:hyperlink>
          </w:p>
        </w:tc>
      </w:tr>
      <w:tr>
        <w:trPr>
          <w:trHeight w:val="216"/>
        </w:trPr>
        <w:tc>
          <w:tcPr>
            <w:tcW w:w="10280" w:type="dxa"/>
            <w:vAlign w:val="bottom"/>
            <w:gridSpan w:val="3"/>
          </w:tcPr>
          <w:p>
            <w:pPr>
              <w:ind w:left="38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Vote Sought and Recommendation</w:t>
              </w:r>
            </w:hyperlink>
          </w:p>
        </w:tc>
        <w:tc>
          <w:tcPr>
            <w:tcW w:w="640" w:type="dxa"/>
            <w:vAlign w:val="bottom"/>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45</w:t>
              </w:r>
            </w:hyperlink>
          </w:p>
        </w:tc>
      </w:tr>
      <w:tr>
        <w:trPr>
          <w:trHeight w:val="324"/>
        </w:trPr>
        <w:tc>
          <w:tcPr>
            <w:tcW w:w="10280" w:type="dxa"/>
            <w:vAlign w:val="bottom"/>
            <w:gridSpan w:val="3"/>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COMPENSATION COMMITTEE INTERLOCKS AND INSIDER PARTICIPATION</w:t>
              </w:r>
            </w:hyperlink>
          </w:p>
        </w:tc>
        <w:tc>
          <w:tcPr>
            <w:tcW w:w="640" w:type="dxa"/>
            <w:vAlign w:val="bottom"/>
          </w:tcPr>
          <w:p>
            <w:pPr>
              <w:jc w:val="right"/>
              <w:spacing w:after="0"/>
              <w:rPr>
                <w:rFonts w:ascii="Arial" w:cs="Arial" w:eastAsia="Arial" w:hAnsi="Arial"/>
                <w:sz w:val="16"/>
                <w:szCs w:val="16"/>
                <w:color w:val="0000FF"/>
              </w:rPr>
            </w:pPr>
            <w:hyperlink w:anchor="page51">
              <w:r>
                <w:rPr>
                  <w:rFonts w:ascii="Arial" w:cs="Arial" w:eastAsia="Arial" w:hAnsi="Arial"/>
                  <w:sz w:val="16"/>
                  <w:szCs w:val="16"/>
                  <w:color w:val="0000FF"/>
                </w:rPr>
                <w:t>45</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CERTAIN RELATIONSHIPS AND RELATED TRANSACTIONS</w:t>
              </w:r>
            </w:hyperlink>
          </w:p>
        </w:tc>
        <w:tc>
          <w:tcPr>
            <w:tcW w:w="640" w:type="dxa"/>
            <w:vAlign w:val="bottom"/>
          </w:tcPr>
          <w:p>
            <w:pPr>
              <w:jc w:val="right"/>
              <w:spacing w:after="0"/>
              <w:rPr>
                <w:rFonts w:ascii="Arial" w:cs="Arial" w:eastAsia="Arial" w:hAnsi="Arial"/>
                <w:sz w:val="16"/>
                <w:szCs w:val="16"/>
                <w:color w:val="0000FF"/>
              </w:rPr>
            </w:pPr>
            <w:hyperlink w:anchor="page51">
              <w:r>
                <w:rPr>
                  <w:rFonts w:ascii="Arial" w:cs="Arial" w:eastAsia="Arial" w:hAnsi="Arial"/>
                  <w:sz w:val="16"/>
                  <w:szCs w:val="16"/>
                  <w:color w:val="0000FF"/>
                </w:rPr>
                <w:t>46</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SECURITY OWNERSHIP OF CERTAIN BENEFICIAL OWNERS AND MANAGEMENT</w:t>
              </w:r>
            </w:hyperlink>
          </w:p>
        </w:tc>
        <w:tc>
          <w:tcPr>
            <w:tcW w:w="640" w:type="dxa"/>
            <w:vAlign w:val="bottom"/>
          </w:tcPr>
          <w:p>
            <w:pPr>
              <w:jc w:val="right"/>
              <w:spacing w:after="0"/>
              <w:rPr>
                <w:rFonts w:ascii="Arial" w:cs="Arial" w:eastAsia="Arial" w:hAnsi="Arial"/>
                <w:sz w:val="16"/>
                <w:szCs w:val="16"/>
                <w:color w:val="0000FF"/>
              </w:rPr>
            </w:pPr>
            <w:hyperlink w:anchor="page52">
              <w:r>
                <w:rPr>
                  <w:rFonts w:ascii="Arial" w:cs="Arial" w:eastAsia="Arial" w:hAnsi="Arial"/>
                  <w:sz w:val="16"/>
                  <w:szCs w:val="16"/>
                  <w:color w:val="0000FF"/>
                </w:rPr>
                <w:t>47</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REPORT OF THE AUDIT COMMITTEE</w:t>
              </w:r>
            </w:hyperlink>
          </w:p>
        </w:tc>
        <w:tc>
          <w:tcPr>
            <w:tcW w:w="640" w:type="dxa"/>
            <w:vAlign w:val="bottom"/>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48</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SECTION 16(A) BENEFICIAL OWNERSHIP REPORTING COMPLIANCE</w:t>
              </w:r>
            </w:hyperlink>
          </w:p>
        </w:tc>
        <w:tc>
          <w:tcPr>
            <w:tcW w:w="640" w:type="dxa"/>
            <w:vAlign w:val="bottom"/>
          </w:tcPr>
          <w:p>
            <w:pPr>
              <w:jc w:val="right"/>
              <w:spacing w:after="0"/>
              <w:rPr>
                <w:rFonts w:ascii="Arial" w:cs="Arial" w:eastAsia="Arial" w:hAnsi="Arial"/>
                <w:sz w:val="16"/>
                <w:szCs w:val="16"/>
                <w:color w:val="0000FF"/>
              </w:rPr>
            </w:pPr>
            <w:hyperlink w:anchor="page55">
              <w:r>
                <w:rPr>
                  <w:rFonts w:ascii="Arial" w:cs="Arial" w:eastAsia="Arial" w:hAnsi="Arial"/>
                  <w:sz w:val="16"/>
                  <w:szCs w:val="16"/>
                  <w:color w:val="0000FF"/>
                </w:rPr>
                <w:t>50</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STOCKHOLDER PROPOSALS</w:t>
              </w:r>
            </w:hyperlink>
          </w:p>
        </w:tc>
        <w:tc>
          <w:tcPr>
            <w:tcW w:w="640" w:type="dxa"/>
            <w:vAlign w:val="bottom"/>
          </w:tcPr>
          <w:p>
            <w:pPr>
              <w:jc w:val="right"/>
              <w:spacing w:after="0"/>
              <w:rPr>
                <w:rFonts w:ascii="Arial" w:cs="Arial" w:eastAsia="Arial" w:hAnsi="Arial"/>
                <w:sz w:val="16"/>
                <w:szCs w:val="16"/>
                <w:color w:val="0000FF"/>
              </w:rPr>
            </w:pPr>
            <w:hyperlink w:anchor="page56">
              <w:r>
                <w:rPr>
                  <w:rFonts w:ascii="Arial" w:cs="Arial" w:eastAsia="Arial" w:hAnsi="Arial"/>
                  <w:sz w:val="16"/>
                  <w:szCs w:val="16"/>
                  <w:color w:val="0000FF"/>
                </w:rPr>
                <w:t>50</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ANNUAL REPORT</w:t>
              </w:r>
            </w:hyperlink>
          </w:p>
        </w:tc>
        <w:tc>
          <w:tcPr>
            <w:tcW w:w="640" w:type="dxa"/>
            <w:vAlign w:val="bottom"/>
          </w:tcPr>
          <w:p>
            <w:pPr>
              <w:jc w:val="right"/>
              <w:spacing w:after="0"/>
              <w:rPr>
                <w:rFonts w:ascii="Arial" w:cs="Arial" w:eastAsia="Arial" w:hAnsi="Arial"/>
                <w:sz w:val="16"/>
                <w:szCs w:val="16"/>
                <w:color w:val="0000FF"/>
              </w:rPr>
            </w:pPr>
            <w:hyperlink w:anchor="page56">
              <w:r>
                <w:rPr>
                  <w:rFonts w:ascii="Arial" w:cs="Arial" w:eastAsia="Arial" w:hAnsi="Arial"/>
                  <w:sz w:val="16"/>
                  <w:szCs w:val="16"/>
                  <w:color w:val="0000FF"/>
                </w:rPr>
                <w:t>50</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HOUSEHOLDING INFORMATION</w:t>
              </w:r>
            </w:hyperlink>
          </w:p>
        </w:tc>
        <w:tc>
          <w:tcPr>
            <w:tcW w:w="640" w:type="dxa"/>
            <w:vAlign w:val="bottom"/>
          </w:tcPr>
          <w:p>
            <w:pPr>
              <w:jc w:val="right"/>
              <w:spacing w:after="0"/>
              <w:rPr>
                <w:rFonts w:ascii="Arial" w:cs="Arial" w:eastAsia="Arial" w:hAnsi="Arial"/>
                <w:sz w:val="16"/>
                <w:szCs w:val="16"/>
                <w:color w:val="0000FF"/>
              </w:rPr>
            </w:pPr>
            <w:hyperlink w:anchor="page56">
              <w:r>
                <w:rPr>
                  <w:rFonts w:ascii="Arial" w:cs="Arial" w:eastAsia="Arial" w:hAnsi="Arial"/>
                  <w:sz w:val="16"/>
                  <w:szCs w:val="16"/>
                  <w:color w:val="0000FF"/>
                </w:rPr>
                <w:t>50</w:t>
              </w:r>
            </w:hyperlink>
          </w:p>
        </w:tc>
      </w:tr>
      <w:tr>
        <w:trPr>
          <w:trHeight w:val="270"/>
        </w:trPr>
        <w:tc>
          <w:tcPr>
            <w:tcW w:w="10280" w:type="dxa"/>
            <w:vAlign w:val="bottom"/>
            <w:gridSpan w:val="3"/>
          </w:tcPr>
          <w:p>
            <w:pP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OTHER MATTERS</w:t>
              </w:r>
            </w:hyperlink>
          </w:p>
        </w:tc>
        <w:tc>
          <w:tcPr>
            <w:tcW w:w="640" w:type="dxa"/>
            <w:vAlign w:val="bottom"/>
          </w:tcPr>
          <w:p>
            <w:pPr>
              <w:jc w:val="right"/>
              <w:spacing w:after="0"/>
              <w:rPr>
                <w:rFonts w:ascii="Arial" w:cs="Arial" w:eastAsia="Arial" w:hAnsi="Arial"/>
                <w:sz w:val="16"/>
                <w:szCs w:val="16"/>
                <w:color w:val="0000FF"/>
              </w:rPr>
            </w:pPr>
            <w:hyperlink w:anchor="page56">
              <w:r>
                <w:rPr>
                  <w:rFonts w:ascii="Arial" w:cs="Arial" w:eastAsia="Arial" w:hAnsi="Arial"/>
                  <w:sz w:val="16"/>
                  <w:szCs w:val="16"/>
                  <w:color w:val="0000FF"/>
                </w:rPr>
                <w:t>51</w:t>
              </w:r>
            </w:hyperlink>
          </w:p>
        </w:tc>
      </w:tr>
      <w:tr>
        <w:trPr>
          <w:trHeight w:val="235"/>
        </w:trPr>
        <w:tc>
          <w:tcPr>
            <w:tcW w:w="10280" w:type="dxa"/>
            <w:vAlign w:val="bottom"/>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 xml:space="preserve">APPENDIX A – EIGHTH </w:t>
              </w:r>
              <w:r>
                <w:rPr>
                  <w:rFonts w:ascii="Arial" w:cs="Arial" w:eastAsia="Arial" w:hAnsi="Arial"/>
                  <w:sz w:val="16"/>
                  <w:szCs w:val="16"/>
                  <w:u w:val="single" w:color="auto"/>
                  <w:color w:val="0000FF"/>
                </w:rPr>
                <w:t>AMENDED AND RESTATED WESTWOOD HOLDINGS GROUP, INC. STOCK INCENTIVE PLAN</w:t>
              </w:r>
            </w:hyperlink>
          </w:p>
        </w:tc>
        <w:tc>
          <w:tcPr>
            <w:tcW w:w="640" w:type="dxa"/>
            <w:vAlign w:val="bottom"/>
          </w:tcPr>
          <w:p>
            <w:pPr>
              <w:spacing w:after="0"/>
              <w:rPr>
                <w:sz w:val="20"/>
                <w:szCs w:val="20"/>
                <w:color w:val="auto"/>
              </w:rPr>
            </w:pPr>
          </w:p>
        </w:tc>
      </w:tr>
      <w:tr>
        <w:trPr>
          <w:trHeight w:val="20"/>
        </w:trPr>
        <w:tc>
          <w:tcPr>
            <w:tcW w:w="16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ectPr>
          <w:pgSz w:w="11900" w:h="16838" w:orient="portrait"/>
          <w:cols w:equalWidth="0" w:num="1">
            <w:col w:w="10920"/>
          </w:cols>
          <w:pgMar w:left="500" w:top="684" w:right="479" w:bottom="1440" w:gutter="0" w:footer="0" w:header="0"/>
        </w:sectPr>
      </w:pPr>
    </w:p>
    <w:bookmarkStart w:id="4" w:name="page5"/>
    <w:bookmarkEnd w:id="4"/>
    <w:p>
      <w:pPr>
        <w:ind w:left="400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APRIL 28,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17" w:lineRule="exact"/>
        <w:rPr>
          <w:sz w:val="20"/>
          <w:szCs w:val="20"/>
          <w:color w:val="auto"/>
        </w:rPr>
      </w:pPr>
    </w:p>
    <w:p>
      <w:pPr>
        <w:jc w:val="both"/>
        <w:ind w:right="140" w:firstLine="405"/>
        <w:spacing w:after="0" w:line="248" w:lineRule="auto"/>
        <w:rPr>
          <w:sz w:val="20"/>
          <w:szCs w:val="20"/>
          <w:color w:val="auto"/>
        </w:rPr>
      </w:pPr>
      <w:r>
        <w:rPr>
          <w:rFonts w:ascii="Arial" w:cs="Arial" w:eastAsia="Arial" w:hAnsi="Arial"/>
          <w:sz w:val="18"/>
          <w:szCs w:val="18"/>
          <w:color w:val="auto"/>
        </w:rPr>
        <w:t xml:space="preserve">NOTICE IS HEREBY GIVEN that the annual meeting of the stockholders of Westwood Holdings Group, Inc. ("Westwood," the "Company," "we," "us" or "our") will be held at </w:t>
      </w:r>
      <w:r>
        <w:rPr>
          <w:rFonts w:ascii="Arial" w:cs="Arial" w:eastAsia="Arial" w:hAnsi="Arial"/>
          <w:sz w:val="18"/>
          <w:szCs w:val="18"/>
          <w:i w:val="1"/>
          <w:iCs w:val="1"/>
          <w:color w:val="auto"/>
        </w:rPr>
        <w:t>www.virtualshareholdermeeting.com/WHG2021</w:t>
      </w:r>
      <w:r>
        <w:rPr>
          <w:rFonts w:ascii="Arial" w:cs="Arial" w:eastAsia="Arial" w:hAnsi="Arial"/>
          <w:sz w:val="18"/>
          <w:szCs w:val="18"/>
          <w:color w:val="auto"/>
        </w:rPr>
        <w:t xml:space="preserve"> on Wednesday, April 28, 2021, at 10:00 a.m., Central Time, to consider and vote on the following proposals:</w:t>
      </w:r>
    </w:p>
    <w:p>
      <w:pPr>
        <w:spacing w:after="0" w:line="384" w:lineRule="exact"/>
        <w:rPr>
          <w:sz w:val="20"/>
          <w:szCs w:val="20"/>
          <w:color w:val="auto"/>
        </w:rPr>
      </w:pPr>
    </w:p>
    <w:p>
      <w:pPr>
        <w:ind w:left="1640" w:right="520" w:hanging="1605"/>
        <w:spacing w:after="0" w:line="235" w:lineRule="auto"/>
        <w:tabs>
          <w:tab w:leader="none" w:pos="16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six directors to hold office until the next annual meeting of Westwood's stockholders and until their respective successors shall have been duly elected and qualified;</w:t>
      </w:r>
    </w:p>
    <w:p>
      <w:pPr>
        <w:spacing w:after="0" w:line="54" w:lineRule="exact"/>
        <w:rPr>
          <w:sz w:val="20"/>
          <w:szCs w:val="20"/>
          <w:color w:val="auto"/>
        </w:rPr>
      </w:pPr>
    </w:p>
    <w:p>
      <w:pPr>
        <w:ind w:left="1640" w:hanging="1605"/>
        <w:spacing w:after="0" w:line="235" w:lineRule="auto"/>
        <w:tabs>
          <w:tab w:leader="none" w:pos="16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Deloitte &amp; Touche LLP as Westwood's independent auditors for the year ending December 31, 2021;</w:t>
      </w:r>
    </w:p>
    <w:p>
      <w:pPr>
        <w:spacing w:after="0" w:line="54"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To approve the Eighth Amended and Restated Westwood Holdings Group, Inc. Stock Incentive Plan; and</w:t>
      </w:r>
    </w:p>
    <w:p>
      <w:pPr>
        <w:spacing w:after="0" w:line="77"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To cast a non-binding, advisory vote on the Company's executive compensation.</w:t>
      </w:r>
    </w:p>
    <w:p>
      <w:pPr>
        <w:spacing w:after="0" w:line="171" w:lineRule="exact"/>
        <w:rPr>
          <w:sz w:val="20"/>
          <w:szCs w:val="20"/>
          <w:color w:val="auto"/>
        </w:rPr>
      </w:pPr>
    </w:p>
    <w:p>
      <w:pPr>
        <w:ind w:right="1060" w:firstLine="405"/>
        <w:spacing w:after="0" w:line="277" w:lineRule="auto"/>
        <w:rPr>
          <w:sz w:val="20"/>
          <w:szCs w:val="20"/>
          <w:color w:val="auto"/>
        </w:rPr>
      </w:pPr>
      <w:r>
        <w:rPr>
          <w:rFonts w:ascii="Arial" w:cs="Arial" w:eastAsia="Arial" w:hAnsi="Arial"/>
          <w:sz w:val="18"/>
          <w:szCs w:val="18"/>
          <w:color w:val="auto"/>
        </w:rPr>
        <w:t>In addition, we will consider the transaction of such other business as may properly come before the meeting or at any adjournments or postponements.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Only stockholders of record at the close of business on March 2, 2021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7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8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at the annual meeting. Pursuant to the New York Stock Exchange ("NYSE") rules, if you hold your shares in street name, nominees will not have discretion to vote these shares on the election of directors, the approval of the Eighth Amended and Restated Westwood Holdings Group, Inc. Stock Incentive Plan, and the matter pertaining to executive compensation. Accordingly, if your shares are held in street name and you do not submit voting instructions to your broker, bank or other nominee, these shares will not be counted in determining the outcome on Proposals 1, 3, and 4 set forth in this proxy statement at the annual meeting. If you hold your shares in street name, we encourage you to provide voting instructions to your broker, bank, or other nominee so that your voice is heard on these proposals.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proxy statement and proxy card are being mailed to our stockholders on or about March 18,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445" w:right="37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28, 2021</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The proxy materials for the Company's Annual Meeting of Stockholders, including the 2020 Annual Report to Stockholders, the Proxy Statement and any other additional soliciting materials, are available over the Internet by accessing our website at </w:t>
      </w:r>
      <w:r>
        <w:rPr>
          <w:rFonts w:ascii="Arial" w:cs="Arial" w:eastAsia="Arial" w:hAnsi="Arial"/>
          <w:sz w:val="17"/>
          <w:szCs w:val="17"/>
          <w:i w:val="1"/>
          <w:iCs w:val="1"/>
          <w:color w:val="auto"/>
        </w:rPr>
        <w:t>https://westwoodgroup.com/investor-relations/annual-reports/</w:t>
      </w:r>
      <w:r>
        <w:rPr>
          <w:rFonts w:ascii="Arial" w:cs="Arial" w:eastAsia="Arial" w:hAnsi="Arial"/>
          <w:sz w:val="17"/>
          <w:szCs w:val="17"/>
          <w:color w:val="auto"/>
        </w:rPr>
        <w:t>. Other information on our website does not constitute part of the Company's proxy materials.</w:t>
      </w:r>
    </w:p>
    <w:p>
      <w:pPr>
        <w:spacing w:after="0" w:line="36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66040</wp:posOffset>
            </wp:positionV>
            <wp:extent cx="97726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Brian O. Casey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688" w:right="4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ANNUAL MEETING OF STOCKHOLDERS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28, 2021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18,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200" w:lineRule="exact"/>
        <w:rPr>
          <w:sz w:val="20"/>
          <w:szCs w:val="20"/>
          <w:color w:val="auto"/>
        </w:rPr>
      </w:pPr>
    </w:p>
    <w:p>
      <w:pPr>
        <w:spacing w:after="0" w:line="282" w:lineRule="exact"/>
        <w:rPr>
          <w:sz w:val="20"/>
          <w:szCs w:val="20"/>
          <w:color w:val="auto"/>
        </w:rPr>
      </w:pPr>
    </w:p>
    <w:p>
      <w:pPr>
        <w:ind w:left="500" w:hanging="474"/>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sz w:val="20"/>
          <w:szCs w:val="20"/>
          <w:color w:val="auto"/>
        </w:rPr>
      </w:pPr>
    </w:p>
    <w:p>
      <w:pPr>
        <w:spacing w:after="0" w:line="299"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 xml:space="preserve">The annual meeting will be held on Wednesday, April 28, 2021, at 10:00 a.m., Central Time, at </w:t>
      </w:r>
      <w:r>
        <w:rPr>
          <w:rFonts w:ascii="Arial" w:cs="Arial" w:eastAsia="Arial" w:hAnsi="Arial"/>
          <w:sz w:val="16"/>
          <w:szCs w:val="16"/>
          <w:i w:val="1"/>
          <w:iCs w:val="1"/>
          <w:color w:val="auto"/>
        </w:rPr>
        <w:t>www.virtualshareholdermeeting.com/WHG2021.</w:t>
      </w:r>
    </w:p>
    <w:p>
      <w:pPr>
        <w:spacing w:after="0" w:line="200" w:lineRule="exact"/>
        <w:rPr>
          <w:sz w:val="20"/>
          <w:szCs w:val="20"/>
          <w:color w:val="auto"/>
        </w:rPr>
      </w:pPr>
    </w:p>
    <w:p>
      <w:pPr>
        <w:spacing w:after="0" w:line="314" w:lineRule="exact"/>
        <w:rPr>
          <w:sz w:val="20"/>
          <w:szCs w:val="20"/>
          <w:color w:val="auto"/>
        </w:rPr>
      </w:pPr>
    </w:p>
    <w:p>
      <w:pPr>
        <w:ind w:left="500" w:hanging="474"/>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286"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23" w:lineRule="exact"/>
        <w:rPr>
          <w:rFonts w:ascii="Arial" w:cs="Arial" w:eastAsia="Arial" w:hAnsi="Arial"/>
          <w:sz w:val="18"/>
          <w:szCs w:val="18"/>
          <w:b w:val="1"/>
          <w:bCs w:val="1"/>
          <w:color w:val="auto"/>
        </w:rPr>
      </w:pPr>
    </w:p>
    <w:p>
      <w:pPr>
        <w:ind w:left="1080" w:right="20" w:hanging="555"/>
        <w:spacing w:after="0" w:line="23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elect six directors to hold office until the next annual meeting of Westwood’s stockholders and until their respective successors shall have been duly elected and qualified;</w:t>
      </w:r>
    </w:p>
    <w:p>
      <w:pPr>
        <w:spacing w:after="0" w:line="1" w:lineRule="exact"/>
        <w:rPr>
          <w:rFonts w:ascii="Arial" w:cs="Arial" w:eastAsia="Arial" w:hAnsi="Arial"/>
          <w:sz w:val="18"/>
          <w:szCs w:val="18"/>
          <w:color w:val="auto"/>
        </w:rPr>
      </w:pPr>
    </w:p>
    <w:p>
      <w:pPr>
        <w:ind w:left="1080" w:right="360" w:hanging="555"/>
        <w:spacing w:after="0" w:line="23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("Deloitte") as Westwood’s independent auditors for the year ending December 31, 2021;</w:t>
      </w:r>
    </w:p>
    <w:p>
      <w:pPr>
        <w:spacing w:after="0" w:line="1" w:lineRule="exact"/>
        <w:rPr>
          <w:rFonts w:ascii="Arial" w:cs="Arial" w:eastAsia="Arial" w:hAnsi="Arial"/>
          <w:sz w:val="18"/>
          <w:szCs w:val="18"/>
          <w:color w:val="auto"/>
        </w:rPr>
      </w:pPr>
    </w:p>
    <w:p>
      <w:pPr>
        <w:ind w:left="1080" w:hanging="555"/>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approve the Eighth Amended and Restated Westwood Holdings Group, Inc. Stock Incentive Plan; and</w:t>
      </w:r>
    </w:p>
    <w:p>
      <w:pPr>
        <w:spacing w:after="0" w:line="22" w:lineRule="exact"/>
        <w:rPr>
          <w:rFonts w:ascii="Arial" w:cs="Arial" w:eastAsia="Arial" w:hAnsi="Arial"/>
          <w:sz w:val="18"/>
          <w:szCs w:val="18"/>
          <w:color w:val="auto"/>
        </w:rPr>
      </w:pPr>
    </w:p>
    <w:p>
      <w:pPr>
        <w:ind w:left="1080" w:hanging="555"/>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cast a non-binding, advisory vote on the Company's executive compensation.</w:t>
      </w:r>
    </w:p>
    <w:p>
      <w:pPr>
        <w:spacing w:after="0" w:line="200" w:lineRule="exact"/>
        <w:rPr>
          <w:sz w:val="20"/>
          <w:szCs w:val="20"/>
          <w:color w:val="auto"/>
        </w:rPr>
      </w:pPr>
    </w:p>
    <w:p>
      <w:pPr>
        <w:spacing w:after="0" w:line="277" w:lineRule="exact"/>
        <w:rPr>
          <w:sz w:val="20"/>
          <w:szCs w:val="20"/>
          <w:color w:val="auto"/>
        </w:rPr>
      </w:pPr>
    </w:p>
    <w:p>
      <w:pPr>
        <w:ind w:left="500" w:hanging="474"/>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286" w:lineRule="exact"/>
        <w:rPr>
          <w:sz w:val="20"/>
          <w:szCs w:val="20"/>
          <w:color w:val="auto"/>
        </w:rPr>
      </w:pPr>
    </w:p>
    <w:p>
      <w:pPr>
        <w:ind w:left="480" w:right="240" w:hanging="454"/>
        <w:spacing w:after="0" w:line="219" w:lineRule="auto"/>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Board of Directors recommends that you vote your shares (i) "FOR" each of the six director nominees for election to the Board of Directors, (ii) "FOR" the ratification of the appointment of Deloitte as Westwood’s independent auditors for the year ending December 31, 2021, (iii) "FOR" the approval of the Eighth Amended and Restated Westwood Holdings Group, Inc. Stock Incentive Plan, and (iv) "FOR" the approval, on a non-binding, advisory basis, of the Company's executive compensation.</w:t>
      </w:r>
    </w:p>
    <w:p>
      <w:pPr>
        <w:spacing w:after="0" w:line="1" w:lineRule="exact"/>
        <w:rPr>
          <w:sz w:val="20"/>
          <w:szCs w:val="20"/>
          <w:color w:val="auto"/>
        </w:rPr>
      </w:pPr>
    </w:p>
    <w:p>
      <w:pPr>
        <w:ind w:left="480" w:right="100"/>
        <w:spacing w:after="0" w:line="234"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200" w:lineRule="exact"/>
        <w:rPr>
          <w:sz w:val="20"/>
          <w:szCs w:val="20"/>
          <w:color w:val="auto"/>
        </w:rPr>
      </w:pPr>
    </w:p>
    <w:p>
      <w:pPr>
        <w:spacing w:after="0" w:line="256" w:lineRule="exact"/>
        <w:rPr>
          <w:sz w:val="20"/>
          <w:szCs w:val="20"/>
          <w:color w:val="auto"/>
        </w:rPr>
      </w:pPr>
    </w:p>
    <w:p>
      <w:pPr>
        <w:ind w:left="500" w:hanging="474"/>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sz w:val="20"/>
          <w:szCs w:val="20"/>
          <w:color w:val="auto"/>
        </w:rPr>
      </w:pPr>
    </w:p>
    <w:p>
      <w:pPr>
        <w:spacing w:after="0" w:line="286" w:lineRule="exact"/>
        <w:rPr>
          <w:sz w:val="20"/>
          <w:szCs w:val="20"/>
          <w:color w:val="auto"/>
        </w:rPr>
      </w:pPr>
    </w:p>
    <w:p>
      <w:pPr>
        <w:ind w:left="480" w:hanging="454"/>
        <w:spacing w:after="0" w:line="216" w:lineRule="auto"/>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Stockholders of record at the close of business on March 2, 2021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2, 2021, there were 8,431,167 shares of common stock outstanding and entitled to vote on each of the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553" w:right="359" w:bottom="1440" w:gutter="0" w:footer="0" w:header="0"/>
        </w:sectPr>
      </w:pPr>
    </w:p>
    <w:bookmarkStart w:id="7" w:name="page8"/>
    <w:bookmarkEnd w:id="7"/>
    <w:p>
      <w:pPr>
        <w:ind w:left="474" w:hanging="474"/>
        <w:spacing w:after="0"/>
        <w:tabs>
          <w:tab w:leader="none" w:pos="47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00" w:lineRule="exact"/>
        <w:rPr>
          <w:sz w:val="20"/>
          <w:szCs w:val="20"/>
          <w:color w:val="auto"/>
        </w:rPr>
      </w:pPr>
    </w:p>
    <w:p>
      <w:pPr>
        <w:spacing w:after="0" w:line="286" w:lineRule="exact"/>
        <w:rPr>
          <w:sz w:val="20"/>
          <w:szCs w:val="20"/>
          <w:color w:val="auto"/>
        </w:rPr>
      </w:pPr>
    </w:p>
    <w:p>
      <w:pPr>
        <w:ind w:left="454" w:right="240" w:hanging="454"/>
        <w:spacing w:after="0" w:line="259" w:lineRule="auto"/>
        <w:tabs>
          <w:tab w:leader="none" w:pos="454"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200" w:lineRule="exact"/>
        <w:rPr>
          <w:sz w:val="20"/>
          <w:szCs w:val="20"/>
          <w:color w:val="auto"/>
        </w:rPr>
      </w:pPr>
    </w:p>
    <w:p>
      <w:pPr>
        <w:spacing w:after="0" w:line="240" w:lineRule="exact"/>
        <w:rPr>
          <w:sz w:val="20"/>
          <w:szCs w:val="20"/>
          <w:color w:val="auto"/>
        </w:rPr>
      </w:pPr>
    </w:p>
    <w:p>
      <w:pPr>
        <w:ind w:left="474" w:hanging="474"/>
        <w:spacing w:after="0"/>
        <w:tabs>
          <w:tab w:leader="none" w:pos="47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86" w:lineRule="exact"/>
        <w:rPr>
          <w:sz w:val="20"/>
          <w:szCs w:val="20"/>
          <w:color w:val="auto"/>
        </w:rPr>
      </w:pPr>
    </w:p>
    <w:p>
      <w:pPr>
        <w:jc w:val="both"/>
        <w:ind w:left="454" w:right="160" w:hanging="454"/>
        <w:spacing w:after="0" w:line="224" w:lineRule="auto"/>
        <w:tabs>
          <w:tab w:leader="none" w:pos="45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1" w:lineRule="exact"/>
        <w:rPr>
          <w:rFonts w:ascii="Arial" w:cs="Arial" w:eastAsia="Arial" w:hAnsi="Arial"/>
          <w:sz w:val="18"/>
          <w:szCs w:val="18"/>
          <w:b w:val="1"/>
          <w:bCs w:val="1"/>
          <w:color w:val="auto"/>
        </w:rPr>
      </w:pPr>
    </w:p>
    <w:p>
      <w:pPr>
        <w:ind w:left="454"/>
        <w:spacing w:after="0" w:line="213" w:lineRule="auto"/>
        <w:rPr>
          <w:rFonts w:ascii="Arial" w:cs="Arial" w:eastAsia="Arial" w:hAnsi="Arial"/>
          <w:sz w:val="18"/>
          <w:szCs w:val="18"/>
          <w:b w:val="1"/>
          <w:bCs w:val="1"/>
          <w:color w:val="auto"/>
        </w:rPr>
      </w:pPr>
      <w:r>
        <w:rPr>
          <w:rFonts w:ascii="Arial" w:cs="Arial" w:eastAsia="Arial" w:hAnsi="Arial"/>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 giving you the right to vote the shares.</w:t>
      </w:r>
    </w:p>
    <w:p>
      <w:pPr>
        <w:spacing w:after="0" w:line="200" w:lineRule="exact"/>
        <w:rPr>
          <w:sz w:val="20"/>
          <w:szCs w:val="20"/>
          <w:color w:val="auto"/>
        </w:rPr>
      </w:pPr>
    </w:p>
    <w:p>
      <w:pPr>
        <w:spacing w:after="0" w:line="259" w:lineRule="exact"/>
        <w:rPr>
          <w:sz w:val="20"/>
          <w:szCs w:val="20"/>
          <w:color w:val="auto"/>
        </w:rPr>
      </w:pPr>
    </w:p>
    <w:p>
      <w:pPr>
        <w:ind w:left="474" w:hanging="474"/>
        <w:spacing w:after="0"/>
        <w:tabs>
          <w:tab w:leader="none" w:pos="47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286" w:lineRule="exact"/>
        <w:rPr>
          <w:sz w:val="20"/>
          <w:szCs w:val="20"/>
          <w:color w:val="auto"/>
        </w:rPr>
      </w:pPr>
    </w:p>
    <w:p>
      <w:pPr>
        <w:ind w:left="454" w:right="20" w:hanging="454"/>
        <w:spacing w:after="0" w:line="216" w:lineRule="auto"/>
        <w:tabs>
          <w:tab w:leader="none" w:pos="454"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ind w:left="454" w:right="80"/>
        <w:spacing w:after="0"/>
        <w:rPr>
          <w:rFonts w:ascii="Arial" w:cs="Arial" w:eastAsia="Arial" w:hAnsi="Arial"/>
          <w:sz w:val="18"/>
          <w:szCs w:val="18"/>
          <w:b w:val="1"/>
          <w:bCs w:val="1"/>
          <w:color w:val="auto"/>
        </w:rPr>
      </w:pPr>
      <w:r>
        <w:rPr>
          <w:rFonts w:ascii="Arial" w:cs="Arial" w:eastAsia="Arial" w:hAnsi="Arial"/>
          <w:sz w:val="16"/>
          <w:szCs w:val="16"/>
          <w:color w:val="auto"/>
        </w:rPr>
        <w:t>Under applicable rules, Proposals 1, 3, and 4 are considered "non-routine" matters, on which banks, brokers and other nominees are not allowed to vote unless they have received voting instructions from the beneficial owners of such shares. The proposal to ratify the appointment of Deloitte as Westwood’s independent auditors for the year ending December 31, 2021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00" w:lineRule="exact"/>
        <w:rPr>
          <w:sz w:val="20"/>
          <w:szCs w:val="20"/>
          <w:color w:val="auto"/>
        </w:rPr>
      </w:pPr>
    </w:p>
    <w:p>
      <w:pPr>
        <w:spacing w:after="0" w:line="257" w:lineRule="exact"/>
        <w:rPr>
          <w:sz w:val="20"/>
          <w:szCs w:val="20"/>
          <w:color w:val="auto"/>
        </w:rPr>
      </w:pPr>
    </w:p>
    <w:p>
      <w:pPr>
        <w:ind w:left="474" w:hanging="474"/>
        <w:spacing w:after="0"/>
        <w:tabs>
          <w:tab w:leader="none" w:pos="47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286" w:lineRule="exact"/>
        <w:rPr>
          <w:sz w:val="20"/>
          <w:szCs w:val="20"/>
          <w:color w:val="auto"/>
        </w:rPr>
      </w:pPr>
    </w:p>
    <w:p>
      <w:pPr>
        <w:ind w:left="454" w:right="80" w:hanging="454"/>
        <w:spacing w:after="0" w:line="244" w:lineRule="auto"/>
        <w:tabs>
          <w:tab w:leader="none" w:pos="454"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Proposal 1: The election of directors requires the affirmative "FOR" vote of a plurality of the shares virtually represented or by proxy at the annual meeting and entitled to vote. This means that the six director nominees who receive the most votes will be elected. You may vote "FOR" or "WITHHOLD" with respect to the election of each director. As the election of directors is a non-routine matter under applicable rules, your bank, broker or other nominee cannot vote without instructions from you. Therefore, only "FOR" votes will be counted in determining whether a plurality has been cast in favor of a director. Broker non-votes and "WITHHOLD" votes will not affect the outcome on the election of directors.</w:t>
      </w:r>
    </w:p>
    <w:p>
      <w:pPr>
        <w:spacing w:after="0" w:line="63" w:lineRule="exact"/>
        <w:rPr>
          <w:rFonts w:ascii="Arial" w:cs="Arial" w:eastAsia="Arial" w:hAnsi="Arial"/>
          <w:sz w:val="16"/>
          <w:szCs w:val="16"/>
          <w:b w:val="1"/>
          <w:bCs w:val="1"/>
          <w:color w:val="auto"/>
        </w:rPr>
      </w:pPr>
    </w:p>
    <w:p>
      <w:pPr>
        <w:ind w:left="454" w:right="40"/>
        <w:spacing w:after="0" w:line="234" w:lineRule="auto"/>
        <w:rPr>
          <w:rFonts w:ascii="Arial" w:cs="Arial" w:eastAsia="Arial" w:hAnsi="Arial"/>
          <w:sz w:val="16"/>
          <w:szCs w:val="16"/>
          <w:b w:val="1"/>
          <w:bCs w:val="1"/>
          <w:color w:val="auto"/>
        </w:rPr>
      </w:pPr>
      <w:r>
        <w:rPr>
          <w:rFonts w:ascii="Arial" w:cs="Arial" w:eastAsia="Arial" w:hAnsi="Arial"/>
          <w:sz w:val="17"/>
          <w:szCs w:val="17"/>
          <w:color w:val="auto"/>
        </w:rPr>
        <w:t>Proposal 2: The ratification of the appointment of Deloitte as Westwood’s independent auditors for the year ending December 31, 2021 requires the affirmative "FOR" vote of a majority of the votes cast at the annual meeting. Abstentions will have no effect on the outcome of this proposal. Proposal 3: The approval of the Eighth Amended and Restated Westwood Holdings Group, Inc. Stock Incentive Plan requires the affirmative "FOR" vote of a majority of the votes cast at the annual meeting. As the approval of Proposal 3 is a non-routine matter under applicable rules, your bank, broker or other nominee cannot vote without instructions from you. An abstention is a vote cast under current NYSE rules, and, as a result, abstentions will have the effect of a vote "AGAINST" this proposal. A broker non-vote, however, is not a vote cast under current NYSE rules, and, as a result, will have no effect on the outcome of this proposal.</w:t>
      </w:r>
    </w:p>
    <w:p>
      <w:pPr>
        <w:spacing w:after="0" w:line="3" w:lineRule="exact"/>
        <w:rPr>
          <w:rFonts w:ascii="Arial" w:cs="Arial" w:eastAsia="Arial" w:hAnsi="Arial"/>
          <w:sz w:val="16"/>
          <w:szCs w:val="16"/>
          <w:b w:val="1"/>
          <w:bCs w:val="1"/>
          <w:color w:val="auto"/>
        </w:rPr>
      </w:pPr>
    </w:p>
    <w:p>
      <w:pPr>
        <w:ind w:left="454"/>
        <w:spacing w:after="0" w:line="219" w:lineRule="auto"/>
        <w:rPr>
          <w:rFonts w:ascii="Arial" w:cs="Arial" w:eastAsia="Arial" w:hAnsi="Arial"/>
          <w:sz w:val="16"/>
          <w:szCs w:val="16"/>
          <w:b w:val="1"/>
          <w:bCs w:val="1"/>
          <w:color w:val="auto"/>
        </w:rPr>
      </w:pPr>
      <w:r>
        <w:rPr>
          <w:rFonts w:ascii="Arial" w:cs="Arial" w:eastAsia="Arial" w:hAnsi="Arial"/>
          <w:sz w:val="18"/>
          <w:szCs w:val="18"/>
          <w:color w:val="auto"/>
        </w:rPr>
        <w:t>Proposal 4: The non-binding, advisory vote on the Company's executive compensation requires the affirmative "FOR" vote of a majority of the votes cast at the annual meeting. As the advisory vote on the Company's executive compensation is a non-routine matter under applicable rules, your bank, broker or other nominee cannot vote without instructions from you. Broker non-votes and abstentions will have no effect on the outcome of this proposal.</w:t>
      </w:r>
    </w:p>
    <w:p>
      <w:pPr>
        <w:spacing w:after="0" w:line="200" w:lineRule="exact"/>
        <w:rPr>
          <w:sz w:val="20"/>
          <w:szCs w:val="20"/>
          <w:color w:val="auto"/>
        </w:rPr>
      </w:pPr>
    </w:p>
    <w:p>
      <w:pPr>
        <w:spacing w:after="0" w:line="326"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74"/>
          </w:cols>
          <w:pgMar w:left="346" w:top="594" w:right="37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200" w:lineRule="exact"/>
        <w:rPr>
          <w:sz w:val="20"/>
          <w:szCs w:val="20"/>
          <w:color w:val="auto"/>
        </w:rPr>
      </w:pPr>
    </w:p>
    <w:p>
      <w:pPr>
        <w:spacing w:after="0" w:line="282" w:lineRule="exact"/>
        <w:rPr>
          <w:sz w:val="20"/>
          <w:szCs w:val="20"/>
          <w:color w:val="auto"/>
        </w:rPr>
      </w:pPr>
    </w:p>
    <w:p>
      <w:pPr>
        <w:ind w:left="500" w:hanging="47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sz w:val="20"/>
          <w:szCs w:val="20"/>
          <w:color w:val="auto"/>
        </w:rPr>
      </w:pPr>
    </w:p>
    <w:p>
      <w:pPr>
        <w:spacing w:after="0" w:line="286" w:lineRule="exact"/>
        <w:rPr>
          <w:sz w:val="20"/>
          <w:szCs w:val="20"/>
          <w:color w:val="auto"/>
        </w:rPr>
      </w:pPr>
    </w:p>
    <w:p>
      <w:pPr>
        <w:ind w:left="480" w:right="420" w:hanging="454"/>
        <w:spacing w:after="0" w:line="235" w:lineRule="auto"/>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2, 2021, the record date, will be entitled to vote on the proposals at the annual meeting. Each share of common stock is entitled to one vote.</w:t>
      </w:r>
    </w:p>
    <w:p>
      <w:pPr>
        <w:spacing w:after="0" w:line="200" w:lineRule="exact"/>
        <w:rPr>
          <w:sz w:val="20"/>
          <w:szCs w:val="20"/>
          <w:color w:val="auto"/>
        </w:rPr>
      </w:pPr>
    </w:p>
    <w:p>
      <w:pPr>
        <w:spacing w:after="0" w:line="255" w:lineRule="exact"/>
        <w:rPr>
          <w:sz w:val="20"/>
          <w:szCs w:val="20"/>
          <w:color w:val="auto"/>
        </w:rPr>
      </w:pPr>
    </w:p>
    <w:p>
      <w:pPr>
        <w:ind w:left="500" w:hanging="474"/>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86" w:lineRule="exact"/>
        <w:rPr>
          <w:sz w:val="20"/>
          <w:szCs w:val="20"/>
          <w:color w:val="auto"/>
        </w:rPr>
      </w:pPr>
    </w:p>
    <w:p>
      <w:pPr>
        <w:ind w:left="480" w:hanging="454"/>
        <w:spacing w:after="0" w:line="224" w:lineRule="auto"/>
        <w:tabs>
          <w:tab w:leader="none" w:pos="4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If you are the record holder of your shares, you can vote by attending the annual virtual meeting or by completing, signing and returning your proxy card in the enclosed postage-paid envelope. You can also vote by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using the control number shown on your proxy card or voting instruction card.</w:t>
      </w:r>
    </w:p>
    <w:p>
      <w:pPr>
        <w:spacing w:after="0" w:line="1" w:lineRule="exact"/>
        <w:rPr>
          <w:rFonts w:ascii="Arial" w:cs="Arial" w:eastAsia="Arial" w:hAnsi="Arial"/>
          <w:sz w:val="18"/>
          <w:szCs w:val="18"/>
          <w:b w:val="1"/>
          <w:bCs w:val="1"/>
          <w:color w:val="auto"/>
        </w:rPr>
      </w:pPr>
    </w:p>
    <w:p>
      <w:pPr>
        <w:ind w:left="480"/>
        <w:spacing w:after="0" w:line="232"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00" w:lineRule="exact"/>
        <w:rPr>
          <w:sz w:val="20"/>
          <w:szCs w:val="20"/>
          <w:color w:val="auto"/>
        </w:rPr>
      </w:pPr>
    </w:p>
    <w:p>
      <w:pPr>
        <w:spacing w:after="0" w:line="254" w:lineRule="exact"/>
        <w:rPr>
          <w:sz w:val="20"/>
          <w:szCs w:val="20"/>
          <w:color w:val="auto"/>
        </w:rPr>
      </w:pPr>
    </w:p>
    <w:p>
      <w:pPr>
        <w:ind w:left="500" w:hanging="474"/>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286" w:lineRule="exact"/>
        <w:rPr>
          <w:sz w:val="20"/>
          <w:szCs w:val="20"/>
          <w:color w:val="auto"/>
        </w:rPr>
      </w:pPr>
    </w:p>
    <w:p>
      <w:pPr>
        <w:ind w:left="520" w:hanging="494"/>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23" w:lineRule="exact"/>
        <w:rPr>
          <w:rFonts w:ascii="Arial" w:cs="Arial" w:eastAsia="Arial" w:hAnsi="Arial"/>
          <w:sz w:val="18"/>
          <w:szCs w:val="18"/>
          <w:b w:val="1"/>
          <w:bCs w:val="1"/>
          <w:color w:val="auto"/>
        </w:rPr>
      </w:pPr>
    </w:p>
    <w:p>
      <w:pPr>
        <w:ind w:left="1060" w:right="140" w:hanging="535"/>
        <w:spacing w:after="0" w:line="234"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1" w:lineRule="exact"/>
        <w:rPr>
          <w:rFonts w:ascii="Arial" w:cs="Arial" w:eastAsia="Arial" w:hAnsi="Arial"/>
          <w:sz w:val="18"/>
          <w:szCs w:val="18"/>
          <w:color w:val="auto"/>
        </w:rPr>
      </w:pPr>
    </w:p>
    <w:p>
      <w:pPr>
        <w:ind w:left="1060" w:hanging="535"/>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22" w:lineRule="exact"/>
        <w:rPr>
          <w:rFonts w:ascii="Arial" w:cs="Arial" w:eastAsia="Arial" w:hAnsi="Arial"/>
          <w:sz w:val="18"/>
          <w:szCs w:val="18"/>
          <w:color w:val="auto"/>
        </w:rPr>
      </w:pPr>
    </w:p>
    <w:p>
      <w:pPr>
        <w:ind w:left="1060" w:hanging="535"/>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22" w:lineRule="exact"/>
        <w:rPr>
          <w:rFonts w:ascii="Arial" w:cs="Arial" w:eastAsia="Arial" w:hAnsi="Arial"/>
          <w:sz w:val="18"/>
          <w:szCs w:val="18"/>
          <w:color w:val="auto"/>
        </w:rPr>
      </w:pPr>
    </w:p>
    <w:p>
      <w:pPr>
        <w:ind w:left="1060" w:hanging="535"/>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Attending our annual virtual meeting and voting then.</w:t>
      </w:r>
    </w:p>
    <w:p>
      <w:pPr>
        <w:spacing w:after="0" w:line="292" w:lineRule="exact"/>
        <w:rPr>
          <w:sz w:val="20"/>
          <w:szCs w:val="20"/>
          <w:color w:val="auto"/>
        </w:rPr>
      </w:pPr>
    </w:p>
    <w:p>
      <w:pPr>
        <w:ind w:left="600" w:right="100"/>
        <w:spacing w:after="0" w:line="224"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00" w:lineRule="exact"/>
        <w:rPr>
          <w:sz w:val="20"/>
          <w:szCs w:val="20"/>
          <w:color w:val="auto"/>
        </w:rPr>
      </w:pPr>
    </w:p>
    <w:p>
      <w:pPr>
        <w:spacing w:after="0" w:line="256" w:lineRule="exact"/>
        <w:rPr>
          <w:sz w:val="20"/>
          <w:szCs w:val="20"/>
          <w:color w:val="auto"/>
        </w:rPr>
      </w:pPr>
    </w:p>
    <w:p>
      <w:pPr>
        <w:ind w:left="500" w:hanging="474"/>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sz w:val="20"/>
          <w:szCs w:val="20"/>
          <w:color w:val="auto"/>
        </w:rPr>
      </w:pPr>
    </w:p>
    <w:p>
      <w:pPr>
        <w:spacing w:after="0" w:line="286" w:lineRule="exact"/>
        <w:rPr>
          <w:sz w:val="20"/>
          <w:szCs w:val="20"/>
          <w:color w:val="auto"/>
        </w:rPr>
      </w:pPr>
    </w:p>
    <w:p>
      <w:pPr>
        <w:ind w:left="480" w:right="280" w:hanging="454"/>
        <w:spacing w:after="0" w:line="235" w:lineRule="auto"/>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200" w:lineRule="exact"/>
        <w:rPr>
          <w:sz w:val="20"/>
          <w:szCs w:val="20"/>
          <w:color w:val="auto"/>
        </w:rPr>
      </w:pPr>
    </w:p>
    <w:p>
      <w:pPr>
        <w:spacing w:after="0" w:line="309" w:lineRule="exact"/>
        <w:rPr>
          <w:sz w:val="20"/>
          <w:szCs w:val="20"/>
          <w:color w:val="auto"/>
        </w:rPr>
      </w:pPr>
    </w:p>
    <w:p>
      <w:pPr>
        <w:ind w:left="500" w:hanging="474"/>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00" w:lineRule="exact"/>
        <w:rPr>
          <w:sz w:val="20"/>
          <w:szCs w:val="20"/>
          <w:color w:val="auto"/>
        </w:rPr>
      </w:pPr>
    </w:p>
    <w:p>
      <w:pPr>
        <w:spacing w:after="0" w:line="313" w:lineRule="exact"/>
        <w:rPr>
          <w:sz w:val="20"/>
          <w:szCs w:val="20"/>
          <w:color w:val="auto"/>
        </w:rPr>
      </w:pPr>
    </w:p>
    <w:p>
      <w:pPr>
        <w:ind w:left="480" w:right="360" w:hanging="454"/>
        <w:spacing w:after="0" w:line="235" w:lineRule="auto"/>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895,260 shares, or approximately 10.6%, of our outstanding common stock as of March 2, 2021.</w:t>
      </w:r>
    </w:p>
    <w:p>
      <w:pPr>
        <w:spacing w:after="0" w:line="67" w:lineRule="exact"/>
        <w:rPr>
          <w:rFonts w:ascii="Arial" w:cs="Arial" w:eastAsia="Arial" w:hAnsi="Arial"/>
          <w:sz w:val="18"/>
          <w:szCs w:val="18"/>
          <w:b w:val="1"/>
          <w:bCs w:val="1"/>
          <w:color w:val="auto"/>
        </w:rPr>
      </w:pPr>
    </w:p>
    <w:p>
      <w:pPr>
        <w:ind w:left="480" w:right="6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ectPr>
          <w:pgSz w:w="11900" w:h="16838" w:orient="portrait"/>
          <w:cols w:equalWidth="0" w:num="1">
            <w:col w:w="11200"/>
          </w:cols>
          <w:pgMar w:left="320" w:top="79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796" w:right="379" w:bottom="1440" w:gutter="0" w:footer="0" w:header="0"/>
          <w:type w:val="continuous"/>
        </w:sectPr>
      </w:pPr>
    </w:p>
    <w:bookmarkStart w:id="9" w:name="page10"/>
    <w:bookmarkEnd w:id="9"/>
    <w:p>
      <w:pPr>
        <w:ind w:left="500" w:hanging="474"/>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200" w:lineRule="exact"/>
        <w:rPr>
          <w:sz w:val="20"/>
          <w:szCs w:val="20"/>
          <w:color w:val="auto"/>
        </w:rPr>
      </w:pPr>
    </w:p>
    <w:p>
      <w:pPr>
        <w:spacing w:after="0" w:line="286" w:lineRule="exact"/>
        <w:rPr>
          <w:sz w:val="20"/>
          <w:szCs w:val="20"/>
          <w:color w:val="auto"/>
        </w:rPr>
      </w:pPr>
    </w:p>
    <w:p>
      <w:pPr>
        <w:ind w:left="480" w:right="20" w:hanging="454"/>
        <w:spacing w:after="0" w:line="249" w:lineRule="auto"/>
        <w:tabs>
          <w:tab w:leader="none" w:pos="4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Based on our review of Schedule 13G, Schedule 13D and Form 13F filings, as of March 2, 2021, the ten institutional stockholders with the largest percentage ownership of our outstanding common stock were BlackRock, Inc. (8.6%), Renaissance Technologies LLC (8.6%), Wells Fargo &amp; Company (7.0%), GAMCO Investors, Inc. (6.8%), The Vanguard Group, Inc. (6.1%), DePrince, Race &amp; Zollo, Inc. (4.7%), Dimensional Fund Advisors LP (4.1%), SSgA Funds Management Inc. (1.9%), Geode Capital Management LLC (1.5%), and Allred Capital Management LLC (1.2%).</w:t>
      </w:r>
    </w:p>
    <w:p>
      <w:pPr>
        <w:spacing w:after="0" w:line="59" w:lineRule="exact"/>
        <w:rPr>
          <w:rFonts w:ascii="Arial" w:cs="Arial" w:eastAsia="Arial" w:hAnsi="Arial"/>
          <w:sz w:val="16"/>
          <w:szCs w:val="16"/>
          <w:b w:val="1"/>
          <w:bCs w:val="1"/>
          <w:color w:val="auto"/>
        </w:rPr>
      </w:pPr>
    </w:p>
    <w:p>
      <w:pPr>
        <w:jc w:val="both"/>
        <w:ind w:left="480" w:right="140"/>
        <w:spacing w:after="0" w:line="224" w:lineRule="auto"/>
        <w:rPr>
          <w:rFonts w:ascii="Arial" w:cs="Arial" w:eastAsia="Arial" w:hAnsi="Arial"/>
          <w:sz w:val="16"/>
          <w:szCs w:val="16"/>
          <w:b w:val="1"/>
          <w:bCs w:val="1"/>
          <w:color w:val="auto"/>
        </w:rPr>
      </w:pPr>
      <w:r>
        <w:rPr>
          <w:rFonts w:ascii="Arial" w:cs="Arial" w:eastAsia="Arial" w:hAnsi="Arial"/>
          <w:sz w:val="18"/>
          <w:szCs w:val="18"/>
          <w:color w:val="auto"/>
        </w:rPr>
        <w:t>Brian O. Casey, our President and Chief Executive Officer, owned 4.4%, and Susan M. Byrne, our Vice Chairman, owned 3.0% of our outstanding common stock as of March 2, 2021. Our employees and directors, including Mr. Casey, collectively owned approximately 23% of our outstanding common stock as of March 2, 2021.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00" w:lineRule="exact"/>
        <w:rPr>
          <w:sz w:val="20"/>
          <w:szCs w:val="20"/>
          <w:color w:val="auto"/>
        </w:rPr>
      </w:pPr>
    </w:p>
    <w:p>
      <w:pPr>
        <w:spacing w:after="0" w:line="282" w:lineRule="exact"/>
        <w:rPr>
          <w:sz w:val="20"/>
          <w:szCs w:val="20"/>
          <w:color w:val="auto"/>
        </w:rPr>
      </w:pPr>
    </w:p>
    <w:p>
      <w:pPr>
        <w:ind w:left="500" w:hanging="474"/>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the 2022 annual meeting of stockholders?</w:t>
      </w:r>
    </w:p>
    <w:p>
      <w:pPr>
        <w:spacing w:after="0" w:line="200" w:lineRule="exact"/>
        <w:rPr>
          <w:sz w:val="20"/>
          <w:szCs w:val="20"/>
          <w:color w:val="auto"/>
        </w:rPr>
      </w:pPr>
    </w:p>
    <w:p>
      <w:pPr>
        <w:spacing w:after="0" w:line="286" w:lineRule="exact"/>
        <w:rPr>
          <w:sz w:val="20"/>
          <w:szCs w:val="20"/>
          <w:color w:val="auto"/>
        </w:rPr>
      </w:pPr>
    </w:p>
    <w:p>
      <w:pPr>
        <w:ind w:left="480" w:hanging="454"/>
        <w:spacing w:after="0" w:line="232" w:lineRule="auto"/>
        <w:tabs>
          <w:tab w:leader="none" w:pos="4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To be included in the proxy statement for the 2022 annual meeting, stockholder proposals must be in writing and must be received by Westwood at our principal executive office at 200 Crescent Court, Suite 1200, Dallas, Texas 75201, Attn: Corporate Secretary, no later than November 18, 2021. In addition, such stockholder proposals must comply with Rule 14a-8 under the Securities Exchange Act of 1934, as amended (the "Exchange Act"), which lists the requirements for the inclusion of stockholder proposals in company-sponsored proxy materials.</w:t>
      </w:r>
    </w:p>
    <w:p>
      <w:pPr>
        <w:spacing w:after="0" w:line="1" w:lineRule="exact"/>
        <w:rPr>
          <w:rFonts w:ascii="Arial" w:cs="Arial" w:eastAsia="Arial" w:hAnsi="Arial"/>
          <w:sz w:val="17"/>
          <w:szCs w:val="17"/>
          <w:b w:val="1"/>
          <w:bCs w:val="1"/>
          <w:color w:val="auto"/>
        </w:rPr>
      </w:pPr>
    </w:p>
    <w:p>
      <w:pPr>
        <w:ind w:left="480" w:right="120"/>
        <w:spacing w:after="0" w:line="219" w:lineRule="auto"/>
        <w:rPr>
          <w:rFonts w:ascii="Arial" w:cs="Arial" w:eastAsia="Arial" w:hAnsi="Arial"/>
          <w:sz w:val="17"/>
          <w:szCs w:val="17"/>
          <w:b w:val="1"/>
          <w:bCs w:val="1"/>
          <w:color w:val="auto"/>
        </w:rPr>
      </w:pPr>
      <w:r>
        <w:rPr>
          <w:rFonts w:ascii="Arial" w:cs="Arial" w:eastAsia="Arial" w:hAnsi="Arial"/>
          <w:sz w:val="18"/>
          <w:szCs w:val="18"/>
          <w:color w:val="auto"/>
        </w:rPr>
        <w:t>If a stockholder intends to present a proposal at the 2022 annual meeting, but does not seek to include the proposal in the 2022 proxy statement, notice of the proposal must be received by Westwood at our principal executive offices at least 45 calendar days before the date of this, the 2021 proxy statement, or your proxy will confer discretionary authority on the person(s) named in the form of proxy for the 2022 annual meeting to vote on the proposal if it is properly presented for consideration at the meeting.</w:t>
      </w:r>
    </w:p>
    <w:p>
      <w:pPr>
        <w:spacing w:after="0" w:line="200" w:lineRule="exact"/>
        <w:rPr>
          <w:sz w:val="20"/>
          <w:szCs w:val="20"/>
          <w:color w:val="auto"/>
        </w:rPr>
      </w:pPr>
    </w:p>
    <w:p>
      <w:pPr>
        <w:spacing w:after="0" w:line="282" w:lineRule="exact"/>
        <w:rPr>
          <w:sz w:val="20"/>
          <w:szCs w:val="20"/>
          <w:color w:val="auto"/>
        </w:rPr>
      </w:pPr>
    </w:p>
    <w:p>
      <w:pPr>
        <w:ind w:left="480" w:right="140" w:hanging="454"/>
        <w:spacing w:after="0" w:line="237" w:lineRule="auto"/>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recommend or nominate individuals to serve as directors, and what is the deadline to propose or nominate individuals to serve as directors?</w:t>
      </w:r>
    </w:p>
    <w:p>
      <w:pPr>
        <w:spacing w:after="0" w:line="200" w:lineRule="exact"/>
        <w:rPr>
          <w:sz w:val="20"/>
          <w:szCs w:val="20"/>
          <w:color w:val="auto"/>
        </w:rPr>
      </w:pPr>
    </w:p>
    <w:p>
      <w:pPr>
        <w:spacing w:after="0" w:line="259" w:lineRule="exact"/>
        <w:rPr>
          <w:sz w:val="20"/>
          <w:szCs w:val="20"/>
          <w:color w:val="auto"/>
        </w:rPr>
      </w:pPr>
    </w:p>
    <w:p>
      <w:pPr>
        <w:ind w:left="480" w:right="40" w:hanging="454"/>
        <w:spacing w:after="0" w:line="244" w:lineRule="auto"/>
        <w:tabs>
          <w:tab w:leader="none" w:pos="48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You may propose director candidates for consideration by the Governance/Nominating Committee of our Board of Directors. Any such recommendations must be in writing to our Corporate Secretary at our principal executive office and received at least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annual meeting, then the deadline is a reasonable time before we begin to print and mail our proxy materials.</w:t>
      </w:r>
    </w:p>
    <w:p>
      <w:pPr>
        <w:spacing w:after="0" w:line="63" w:lineRule="exact"/>
        <w:rPr>
          <w:rFonts w:ascii="Arial" w:cs="Arial" w:eastAsia="Arial" w:hAnsi="Arial"/>
          <w:sz w:val="16"/>
          <w:szCs w:val="16"/>
          <w:b w:val="1"/>
          <w:bCs w:val="1"/>
          <w:color w:val="auto"/>
        </w:rPr>
      </w:pPr>
    </w:p>
    <w:p>
      <w:pPr>
        <w:ind w:left="480" w:right="200"/>
        <w:spacing w:after="0" w:line="232" w:lineRule="auto"/>
        <w:rPr>
          <w:rFonts w:ascii="Arial" w:cs="Arial" w:eastAsia="Arial" w:hAnsi="Arial"/>
          <w:sz w:val="16"/>
          <w:szCs w:val="16"/>
          <w:b w:val="1"/>
          <w:bCs w:val="1"/>
          <w:color w:val="auto"/>
        </w:rPr>
      </w:pPr>
      <w:r>
        <w:rPr>
          <w:rFonts w:ascii="Arial" w:cs="Arial" w:eastAsia="Arial" w:hAnsi="Arial"/>
          <w:sz w:val="17"/>
          <w:szCs w:val="17"/>
          <w:color w:val="auto"/>
        </w:rPr>
        <w:t>For the 2022 annual meeting, the deadline for proposing or nominating individuals to serve as director is November 18, 2021. Director candidates recommended by stockholders are evaluated by the Governance/Nominating Committee based on the same criteria applied by the Governance/Nominating Committee to director candidates identified by that committee. To be valid, a stockholder’s notice to the Corporate Secretary must set forth specified information, as further described in "Corporate Governance Information—Director Nominees."</w:t>
      </w:r>
    </w:p>
    <w:p>
      <w:pPr>
        <w:spacing w:after="0" w:line="200" w:lineRule="exact"/>
        <w:rPr>
          <w:sz w:val="20"/>
          <w:szCs w:val="20"/>
          <w:color w:val="auto"/>
        </w:rPr>
      </w:pPr>
    </w:p>
    <w:p>
      <w:pPr>
        <w:spacing w:after="0" w:line="282" w:lineRule="exact"/>
        <w:rPr>
          <w:sz w:val="20"/>
          <w:szCs w:val="20"/>
          <w:color w:val="auto"/>
        </w:rPr>
      </w:pPr>
    </w:p>
    <w:p>
      <w:pPr>
        <w:ind w:left="500" w:hanging="474"/>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86" w:lineRule="exact"/>
        <w:rPr>
          <w:sz w:val="20"/>
          <w:szCs w:val="20"/>
          <w:color w:val="auto"/>
        </w:rPr>
      </w:pPr>
    </w:p>
    <w:p>
      <w:pPr>
        <w:jc w:val="both"/>
        <w:ind w:left="480" w:right="120" w:hanging="454"/>
        <w:spacing w:after="0" w:line="224" w:lineRule="auto"/>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00" w:lineRule="exact"/>
        <w:rPr>
          <w:sz w:val="20"/>
          <w:szCs w:val="20"/>
          <w:color w:val="auto"/>
        </w:rPr>
      </w:pPr>
    </w:p>
    <w:p>
      <w:pPr>
        <w:spacing w:after="0" w:line="256" w:lineRule="exact"/>
        <w:rPr>
          <w:sz w:val="20"/>
          <w:szCs w:val="20"/>
          <w:color w:val="auto"/>
        </w:rPr>
      </w:pPr>
    </w:p>
    <w:p>
      <w:pPr>
        <w:ind w:left="500" w:hanging="474"/>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945" w:right="399" w:bottom="1440" w:gutter="0" w:footer="0" w:header="0"/>
        </w:sectPr>
      </w:pPr>
    </w:p>
    <w:bookmarkStart w:id="10" w:name="page11"/>
    <w:bookmarkEnd w:id="10"/>
    <w:p>
      <w:pPr>
        <w:ind w:left="480" w:right="380" w:hanging="454"/>
        <w:spacing w:after="0" w:line="235" w:lineRule="auto"/>
        <w:tabs>
          <w:tab w:leader="none" w:pos="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ind w:left="480" w:right="7120"/>
        <w:spacing w:after="0" w:line="212" w:lineRule="auto"/>
        <w:rPr>
          <w:rFonts w:ascii="Arial" w:cs="Arial" w:eastAsia="Arial" w:hAnsi="Arial"/>
          <w:sz w:val="18"/>
          <w:szCs w:val="18"/>
          <w:b w:val="1"/>
          <w:bCs w:val="1"/>
          <w:color w:val="auto"/>
        </w:rPr>
      </w:pPr>
      <w:r>
        <w:rPr>
          <w:rFonts w:ascii="Arial" w:cs="Arial" w:eastAsia="Arial" w:hAnsi="Arial"/>
          <w:sz w:val="18"/>
          <w:szCs w:val="18"/>
          <w:color w:val="auto"/>
        </w:rPr>
        <w:t>Terry Forbes, Chief Financial Officer &amp; Treasurer Westwood Holdings Group, Inc.</w:t>
      </w:r>
    </w:p>
    <w:p>
      <w:pPr>
        <w:ind w:left="480" w:right="8460"/>
        <w:spacing w:after="0" w:line="218" w:lineRule="auto"/>
        <w:rPr>
          <w:rFonts w:ascii="Arial" w:cs="Arial" w:eastAsia="Arial" w:hAnsi="Arial"/>
          <w:sz w:val="18"/>
          <w:szCs w:val="18"/>
          <w:b w:val="1"/>
          <w:bCs w:val="1"/>
          <w:color w:val="auto"/>
        </w:rPr>
      </w:pPr>
      <w:r>
        <w:rPr>
          <w:rFonts w:ascii="Arial" w:cs="Arial" w:eastAsia="Arial" w:hAnsi="Arial"/>
          <w:sz w:val="18"/>
          <w:szCs w:val="18"/>
          <w:color w:val="auto"/>
        </w:rPr>
        <w:t>200 Crescent Court, Suite 1200 Dallas, Texas 75201 Telephone: (214) 756-6900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2020, filed with the Securities and Exchange Commission ("SEC") on March 4, 2021 (the "2020 Form 10-K"), which is being sent to you with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598"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bylaws provide that the Board of Directors of the Company (the "Board") will consist of between three and eleven directors, as determined from time to time by resolution of the Board. The Board has previously set the number of directors at eight but reduced the number of directors to six for the current term. The terms of the six incumbent directors expire at the 2021 Annual Meeting. Each director elected at the 2021 Annual Meeting will serve until the 2022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84"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7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2, 2021. A plurality of the shares virtually represented or by proxy at the annual meeting and entitled to vote is required for the election of directors. This means that the six director nominees who receive the most votes will be elected. Votes may be cast in favor of a director nominee or withheld. Stockholders may withhold authority to vote for any individual nominee by marking "FOR ALL EXCEPT" and then filling in the circle next to such director's name in the space provided for such purpose on the proxy card. Broker non-votes and votes that are withheld will be excluded entirely from the vote and will have no effect. Votes that are withheld for a particular nominee will be excluded from the vote for that nominee only.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persons nominated to be directors are listed below. The following information is submitted concerning the nominees for election as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Position(s) With Westwood</w:t>
            </w:r>
          </w:p>
        </w:tc>
      </w:tr>
      <w:tr>
        <w:trPr>
          <w:trHeight w:val="230"/>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Brian O. Casey</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140" w:type="dxa"/>
            <w:vAlign w:val="bottom"/>
          </w:tcPr>
          <w:p>
            <w:pPr>
              <w:spacing w:after="0"/>
              <w:rPr>
                <w:sz w:val="19"/>
                <w:szCs w:val="19"/>
                <w:color w:val="auto"/>
              </w:rPr>
            </w:pPr>
          </w:p>
        </w:tc>
        <w:tc>
          <w:tcPr>
            <w:tcW w:w="7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28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Susan M. Byrne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Vice Chairman of the Board of Directors</w:t>
            </w:r>
          </w:p>
        </w:tc>
      </w:tr>
      <w:tr>
        <w:trPr>
          <w:trHeight w:val="284"/>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Ellen H. Masterson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Geoffrey R. Norman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17" w:lineRule="exact"/>
        <w:rPr>
          <w:sz w:val="20"/>
          <w:szCs w:val="20"/>
          <w:color w:val="auto"/>
        </w:rPr>
      </w:pPr>
    </w:p>
    <w:p>
      <w:pPr>
        <w:ind w:firstLine="405"/>
        <w:spacing w:after="0" w:line="238" w:lineRule="auto"/>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has served Westwood as Chief Executive Officer ("CEO") of Westwood since January 2006, as President and a director since its</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8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As the Chief Executive Officer of the Company and with over 21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5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Richard M. Frank </w:t>
      </w:r>
      <w:r>
        <w:rPr>
          <w:rFonts w:ascii="Arial" w:cs="Arial" w:eastAsia="Arial" w:hAnsi="Arial"/>
          <w:sz w:val="18"/>
          <w:szCs w:val="18"/>
          <w:color w:val="auto"/>
        </w:rPr>
        <w:t>has served as a director of Westwood and Westwood Trust since February 2006, and as Chairman of the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1, 2015. Mr. Frank was previously employed by CEC Entertainment, Inc. (“CEC”), a Dallas-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45" w:right="339" w:bottom="1440" w:gutter="0" w:footer="0" w:header="0"/>
        </w:sectPr>
      </w:pPr>
    </w:p>
    <w:bookmarkStart w:id="12" w:name="page13"/>
    <w:bookmarkEnd w:id="12"/>
    <w:p>
      <w:pPr>
        <w:ind w:right="20"/>
        <w:spacing w:after="0" w:line="257" w:lineRule="auto"/>
        <w:rPr>
          <w:sz w:val="20"/>
          <w:szCs w:val="20"/>
          <w:color w:val="auto"/>
        </w:rPr>
      </w:pPr>
      <w:r>
        <w:rPr>
          <w:rFonts w:ascii="Arial" w:cs="Arial" w:eastAsia="Arial" w:hAnsi="Arial"/>
          <w:sz w:val="18"/>
          <w:szCs w:val="18"/>
          <w:color w:val="auto"/>
        </w:rPr>
        <w:t>based company that operates a chain of pizza and children’s entertainment restaurants, until his retirement in March 2014. CEC was an NYSE 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80"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76"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i w:val="1"/>
          <w:iCs w:val="1"/>
          <w:color w:val="auto"/>
        </w:rPr>
        <w:t xml:space="preserve">Susan M. Byrne </w:t>
      </w:r>
      <w:r>
        <w:rPr>
          <w:rFonts w:ascii="Arial" w:cs="Arial" w:eastAsia="Arial" w:hAnsi="Arial"/>
          <w:sz w:val="16"/>
          <w:szCs w:val="16"/>
          <w:color w:val="auto"/>
        </w:rPr>
        <w:t>has served as a director of Westwood since its inception in December 2001 and served as Chairman of the Board of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Westwood's inception through May 1, 2015, at which time she began serving as Vice Chairman of the Board of Directors, a position which she currently holds. Ms. Byrne also serves as a consultant to the Company under a consulting agreement dated March 17, 2015. She served as Director, Global Initiatives for Westwood from February 2012 to July 2015, as Co-Chief Investment Officer from January 2011 to February 2012, as Chief Investment Officer from January 2006 to January 2011, and as Chief Executive Officer from December 2001 to December 2005. Ms. Byrne is the founder of Westwood Management Corp., and she has served as its Chairman of the Board since 1983, as Chief Investment Officer from 1983 to February 2012, as Chief Executive Officer from 1983 to 2005, and as President from 1983 to 2002. She served as a director of Westwood Trust from 1996 to 1999 and again since 2016. She serves as a Trustee of the Impact Dallas Capital Board, and is also a Trustee of the Naval Postgraduate School Foundation. Ms. Byrne has previously served as a board member of the Dallas Museum of Art, where she also served on the Executive Committee and as Treasurer. She is also a former Trustee of the Dallas Police &amp; Fire Pension System, the Board of Presbyterian Communities &amp; Services Foundation, the Board of the University of Texas Investment Management Company, and the Board of Trustees for the City of Dallas Employees Retirement Fund.</w:t>
      </w:r>
    </w:p>
    <w:p>
      <w:pPr>
        <w:spacing w:after="0" w:line="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8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Ellen H. Masterson </w:t>
      </w:r>
      <w:r>
        <w:rPr>
          <w:rFonts w:ascii="Arial" w:cs="Arial" w:eastAsia="Arial" w:hAnsi="Arial"/>
          <w:sz w:val="17"/>
          <w:szCs w:val="17"/>
          <w:color w:val="auto"/>
        </w:rPr>
        <w:t>has served as a director of Westwood and Westwood Trust since 2014. She retired as a partner with PricewaterhouseCoopers</w:t>
      </w:r>
      <w:r>
        <w:rPr>
          <w:rFonts w:ascii="Arial" w:cs="Arial" w:eastAsia="Arial" w:hAnsi="Arial"/>
          <w:sz w:val="17"/>
          <w:szCs w:val="17"/>
          <w:i w:val="1"/>
          <w:iCs w:val="1"/>
          <w:color w:val="auto"/>
        </w:rPr>
        <w:t xml:space="preserve"> </w:t>
      </w:r>
      <w:r>
        <w:rPr>
          <w:rFonts w:ascii="Arial" w:cs="Arial" w:eastAsia="Arial" w:hAnsi="Arial"/>
          <w:sz w:val="17"/>
          <w:szCs w:val="17"/>
          <w:color w:val="auto"/>
        </w:rPr>
        <w:t>(“PwC”)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 largest doctor-owned medical malpractice insurer in the US. Since 1982, she has served on the boards of directors for numerous nonprofit and charitable organizations.</w:t>
      </w:r>
    </w:p>
    <w:p>
      <w:pPr>
        <w:spacing w:after="0" w:line="73"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76"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i w:val="1"/>
          <w:iCs w:val="1"/>
          <w:color w:val="auto"/>
        </w:rPr>
        <w:t xml:space="preserve">Geoffrey R. Norman </w:t>
      </w:r>
      <w:r>
        <w:rPr>
          <w:rFonts w:ascii="Arial" w:cs="Arial" w:eastAsia="Arial" w:hAnsi="Arial"/>
          <w:sz w:val="17"/>
          <w:szCs w:val="17"/>
          <w:color w:val="auto"/>
        </w:rPr>
        <w:t>has served as a director of Westwood and Westwood Trust since April 2007. He was employed by General Electric from 1968 to</w:t>
      </w:r>
      <w:r>
        <w:rPr>
          <w:rFonts w:ascii="Arial" w:cs="Arial" w:eastAsia="Arial" w:hAnsi="Arial"/>
          <w:sz w:val="17"/>
          <w:szCs w:val="17"/>
          <w:i w:val="1"/>
          <w:iCs w:val="1"/>
          <w:color w:val="auto"/>
        </w:rPr>
        <w:t xml:space="preserve"> </w:t>
      </w:r>
      <w:r>
        <w:rPr>
          <w:rFonts w:ascii="Arial" w:cs="Arial" w:eastAsia="Arial" w:hAnsi="Arial"/>
          <w:sz w:val="17"/>
          <w:szCs w:val="17"/>
          <w:color w:val="auto"/>
        </w:rPr>
        <w:t>2004, serving in various roles including Comptroller of GE Española, Chief Financial Officer of GE International Contractor Equipment, Vice President &amp; Treasurer of GE Capital, and, from April 1988 to March 2004,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68"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4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 xml:space="preserve">Raymond E. Wooldridge </w:t>
      </w:r>
      <w:r>
        <w:rPr>
          <w:rFonts w:ascii="Arial" w:cs="Arial" w:eastAsia="Arial" w:hAnsi="Arial"/>
          <w:sz w:val="18"/>
          <w:szCs w:val="18"/>
          <w:color w:val="auto"/>
        </w:rPr>
        <w:t>has served as a director of Westwood since it became a public company in December 2001. He has served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Westwood Trust since 2000. Mr. Wooldridge is Chairman of the Board of Reeves Bancshares, Inc., a one-bank holding company whose principal subsidiary is Stockmans Bank, which serves southwestern Oklahoma and the Dallas/Fort Worth area. He also serves as director and Investment Committee member of the Catholic Diocese Educational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7" w:right="339" w:bottom="1440" w:gutter="0" w:footer="0" w:header="0"/>
        </w:sectPr>
      </w:pPr>
    </w:p>
    <w:bookmarkStart w:id="13" w:name="page14"/>
    <w:bookmarkEnd w:id="13"/>
    <w:p>
      <w:pPr>
        <w:ind w:right="400"/>
        <w:spacing w:after="0" w:line="254" w:lineRule="auto"/>
        <w:rPr>
          <w:sz w:val="20"/>
          <w:szCs w:val="20"/>
          <w:color w:val="auto"/>
        </w:rPr>
      </w:pPr>
      <w:r>
        <w:rPr>
          <w:rFonts w:ascii="Arial" w:cs="Arial" w:eastAsia="Arial" w:hAnsi="Arial"/>
          <w:sz w:val="18"/>
          <w:szCs w:val="18"/>
          <w:color w:val="auto"/>
        </w:rPr>
        <w:t>Endowment Trust Fund. Until February 2014, Mr. Wooldridge was a director of CEC, a Dallas-based company that develops, operates and franchises family dining entertainment centers. CEC was an NYSE listed company until February 2014. From 1994 to 2009, he was a director of Davidson Companies, Inc., a large financial services holding company headquartered in Montana. Mr. Wooldridge also served as a director of Davidson Trust Company, a wealth management and trust firm, from 2001 to 2005. From 1986 to 1999, he was a director of SWS Group, Inc. (“SWS”); from 1996 to 1999, he served as the Vice Chairman and Chairman of the Executive Committee of SWS; from 1993 to 1996, he served as Chief Executive Officer of SWS; and from 1986 to 1993, he served as President and Chief Operating Officer of SWS. He is a past Chairman of the National Securities Clearing Corporation, a national clearing agency registered with the SEC, and past Vice Chairman of the Board of Governors of the National Association of Securities Dealers.</w:t>
      </w:r>
    </w:p>
    <w:p>
      <w:pPr>
        <w:spacing w:after="0" w:line="84" w:lineRule="exact"/>
        <w:rPr>
          <w:sz w:val="20"/>
          <w:szCs w:val="20"/>
          <w:color w:val="auto"/>
        </w:rPr>
      </w:pPr>
    </w:p>
    <w:p>
      <w:pPr>
        <w:ind w:right="260" w:firstLine="405"/>
        <w:spacing w:after="0" w:line="301" w:lineRule="auto"/>
        <w:rPr>
          <w:sz w:val="20"/>
          <w:szCs w:val="20"/>
          <w:color w:val="auto"/>
        </w:rPr>
      </w:pPr>
      <w:r>
        <w:rPr>
          <w:rFonts w:ascii="Arial" w:cs="Arial" w:eastAsia="Arial" w:hAnsi="Arial"/>
          <w:sz w:val="16"/>
          <w:szCs w:val="16"/>
          <w:color w:val="auto"/>
        </w:rPr>
        <w:t>Mr. Wooldridge brings extensive financial, operational, regulatory and strategy expertise to the Board, having served in senior executive roles with SWS for over 13 years. In addition, as a former senior executive and director of SWS, our former parent company, Mr. Wooldridge developed intimate knowledge of the Company's operations, firm history and competitive landscape. Mr. Wooldridge brings valuable experience in business, governance, compensation and financial matters through his current and prior service as a director for other public and private companies.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121"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Board of Directors held seven meetings during 2020. All of the incumbent director nominees attended all of the meetings held in 2020. The standing committees of the Board of Directors currently consist of the Audit Committee, the Compensation Committee and the Governance/Nominating Committee. The membership and duties of these committees are described below.</w:t>
      </w:r>
    </w:p>
    <w:p>
      <w:pPr>
        <w:spacing w:after="0" w:line="364"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580" w:type="dxa"/>
            <w:vAlign w:val="bottom"/>
          </w:tcPr>
          <w:p>
            <w:pPr>
              <w:jc w:val="center"/>
              <w:ind w:left="848"/>
              <w:spacing w:after="0"/>
              <w:rPr>
                <w:sz w:val="20"/>
                <w:szCs w:val="20"/>
                <w:color w:val="auto"/>
              </w:rPr>
            </w:pPr>
            <w:r>
              <w:rPr>
                <w:rFonts w:ascii="Arial" w:cs="Arial" w:eastAsia="Arial" w:hAnsi="Arial"/>
                <w:sz w:val="14"/>
                <w:szCs w:val="14"/>
                <w:b w:val="1"/>
                <w:bCs w:val="1"/>
                <w:color w:val="auto"/>
                <w:w w:val="94"/>
              </w:rPr>
              <w:t>Audit</w:t>
            </w:r>
          </w:p>
        </w:tc>
        <w:tc>
          <w:tcPr>
            <w:tcW w:w="164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Compensation</w:t>
            </w:r>
          </w:p>
        </w:tc>
        <w:tc>
          <w:tcPr>
            <w:tcW w:w="180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Governance/Nominating</w:t>
            </w:r>
          </w:p>
        </w:tc>
      </w:tr>
      <w:tr>
        <w:trPr>
          <w:trHeight w:val="212"/>
        </w:trPr>
        <w:tc>
          <w:tcPr>
            <w:tcW w:w="2860" w:type="dxa"/>
            <w:vAlign w:val="bottom"/>
          </w:tcPr>
          <w:p>
            <w:pPr>
              <w:spacing w:after="0"/>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18"/>
                <w:szCs w:val="18"/>
                <w:b w:val="1"/>
                <w:bCs w:val="1"/>
                <w:i w:val="1"/>
                <w:iCs w:val="1"/>
                <w:color w:val="auto"/>
                <w:vertAlign w:val="superscript"/>
              </w:rPr>
              <w:t>(1)</w:t>
            </w: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Committee</w:t>
            </w:r>
          </w:p>
        </w:tc>
        <w:tc>
          <w:tcPr>
            <w:tcW w:w="164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Committee</w:t>
            </w:r>
          </w:p>
        </w:tc>
        <w:tc>
          <w:tcPr>
            <w:tcW w:w="180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Committee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Richard M. Frank</w:t>
            </w:r>
            <w:r>
              <w:rPr>
                <w:rFonts w:ascii="Arial" w:cs="Arial" w:eastAsia="Arial" w:hAnsi="Arial"/>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M</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C</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M</w:t>
            </w:r>
          </w:p>
        </w:tc>
      </w:tr>
      <w:tr>
        <w:trPr>
          <w:trHeight w:val="230"/>
        </w:trPr>
        <w:tc>
          <w:tcPr>
            <w:tcW w:w="6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Ellen H. Masterson</w:t>
            </w:r>
            <w:r>
              <w:rPr>
                <w:rFonts w:ascii="Arial" w:cs="Arial" w:eastAsia="Arial" w:hAnsi="Arial"/>
                <w:sz w:val="23"/>
                <w:szCs w:val="23"/>
                <w:color w:val="auto"/>
                <w:vertAlign w:val="superscript"/>
              </w:rPr>
              <w:t>(3)</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C</w:t>
            </w:r>
          </w:p>
        </w:tc>
        <w:tc>
          <w:tcPr>
            <w:tcW w:w="1760" w:type="dxa"/>
            <w:vAlign w:val="bottom"/>
            <w:gridSpan w:val="2"/>
          </w:tcPr>
          <w:p>
            <w:pPr>
              <w:ind w:left="740"/>
              <w:spacing w:after="0"/>
              <w:rPr>
                <w:sz w:val="20"/>
                <w:szCs w:val="20"/>
                <w:color w:val="auto"/>
              </w:rPr>
            </w:pPr>
            <w:r>
              <w:rPr>
                <w:rFonts w:ascii="Arial" w:cs="Arial" w:eastAsia="Arial" w:hAnsi="Arial"/>
                <w:sz w:val="18"/>
                <w:szCs w:val="18"/>
                <w:color w:val="auto"/>
              </w:rPr>
              <w:t>M</w:t>
            </w:r>
          </w:p>
        </w:tc>
        <w:tc>
          <w:tcPr>
            <w:tcW w:w="1640" w:type="dxa"/>
            <w:vAlign w:val="bottom"/>
          </w:tcPr>
          <w:p>
            <w:pPr>
              <w:ind w:left="740"/>
              <w:spacing w:after="0"/>
              <w:rPr>
                <w:sz w:val="20"/>
                <w:szCs w:val="20"/>
                <w:color w:val="auto"/>
              </w:rPr>
            </w:pPr>
            <w:r>
              <w:rPr>
                <w:rFonts w:ascii="Arial" w:cs="Arial" w:eastAsia="Arial" w:hAnsi="Arial"/>
                <w:sz w:val="18"/>
                <w:szCs w:val="18"/>
                <w:color w:val="auto"/>
              </w:rPr>
              <w:t>M</w:t>
            </w:r>
          </w:p>
        </w:tc>
      </w:tr>
      <w:tr>
        <w:trPr>
          <w:trHeight w:val="229"/>
        </w:trPr>
        <w:tc>
          <w:tcPr>
            <w:tcW w:w="6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Geoffrey R. Norman</w:t>
            </w:r>
            <w:r>
              <w:rPr>
                <w:rFonts w:ascii="Arial" w:cs="Arial" w:eastAsia="Arial" w:hAnsi="Arial"/>
                <w:sz w:val="23"/>
                <w:szCs w:val="23"/>
                <w:color w:val="auto"/>
                <w:vertAlign w:val="superscript"/>
              </w:rPr>
              <w:t>(3)</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M</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M</w:t>
            </w:r>
          </w:p>
        </w:tc>
        <w:tc>
          <w:tcPr>
            <w:tcW w:w="1760" w:type="dxa"/>
            <w:vAlign w:val="bottom"/>
            <w:gridSpan w:val="2"/>
          </w:tcPr>
          <w:p>
            <w:pPr>
              <w:ind w:left="740"/>
              <w:spacing w:after="0"/>
              <w:rPr>
                <w:sz w:val="20"/>
                <w:szCs w:val="20"/>
                <w:color w:val="auto"/>
              </w:rPr>
            </w:pPr>
            <w:r>
              <w:rPr>
                <w:rFonts w:ascii="Arial" w:cs="Arial" w:eastAsia="Arial" w:hAnsi="Arial"/>
                <w:sz w:val="18"/>
                <w:szCs w:val="18"/>
                <w:color w:val="auto"/>
              </w:rPr>
              <w:t>M</w:t>
            </w:r>
          </w:p>
        </w:tc>
        <w:tc>
          <w:tcPr>
            <w:tcW w:w="1640" w:type="dxa"/>
            <w:vAlign w:val="bottom"/>
          </w:tcPr>
          <w:p>
            <w:pPr>
              <w:ind w:left="760"/>
              <w:spacing w:after="0"/>
              <w:rPr>
                <w:sz w:val="20"/>
                <w:szCs w:val="20"/>
                <w:color w:val="auto"/>
              </w:rPr>
            </w:pPr>
            <w:r>
              <w:rPr>
                <w:rFonts w:ascii="Arial" w:cs="Arial" w:eastAsia="Arial" w:hAnsi="Arial"/>
                <w:sz w:val="18"/>
                <w:szCs w:val="18"/>
                <w:color w:val="auto"/>
              </w:rPr>
              <w:t>C</w:t>
            </w:r>
          </w:p>
        </w:tc>
      </w:tr>
      <w:tr>
        <w:trPr>
          <w:trHeight w:val="214"/>
        </w:trPr>
        <w:tc>
          <w:tcPr>
            <w:tcW w:w="594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ind w:right="9820" w:firstLine="8"/>
        <w:spacing w:after="0" w:line="294" w:lineRule="auto"/>
        <w:tabs>
          <w:tab w:leader="none" w:pos="272"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Committee member C Committee chair</w:t>
      </w:r>
    </w:p>
    <w:p>
      <w:pPr>
        <w:spacing w:after="0" w:line="1" w:lineRule="exact"/>
        <w:rPr>
          <w:sz w:val="20"/>
          <w:szCs w:val="20"/>
          <w:color w:val="auto"/>
        </w:rPr>
      </w:pPr>
    </w:p>
    <w:p>
      <w:pPr>
        <w:ind w:left="660" w:right="120" w:hanging="652"/>
        <w:spacing w:after="0" w:line="251" w:lineRule="auto"/>
        <w:tabs>
          <w:tab w:leader="none" w:pos="32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21" w:lineRule="exact"/>
        <w:rPr>
          <w:rFonts w:ascii="Arial" w:cs="Arial" w:eastAsia="Arial" w:hAnsi="Arial"/>
          <w:sz w:val="14"/>
          <w:szCs w:val="14"/>
          <w:color w:val="auto"/>
        </w:rPr>
      </w:pPr>
    </w:p>
    <w:p>
      <w:pPr>
        <w:ind w:left="660" w:right="300" w:hanging="652"/>
        <w:spacing w:after="0" w:line="273" w:lineRule="auto"/>
        <w:tabs>
          <w:tab w:leader="none" w:pos="32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operates pursuant to a charter approved by our Board of Directors, which the Audit Committee reviews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periodically to determine if revisions are necessary or appropriate. A copy of the charter is posted on our website at </w:t>
      </w:r>
      <w:r>
        <w:rPr>
          <w:rFonts w:ascii="Arial" w:cs="Arial" w:eastAsia="Arial" w:hAnsi="Arial"/>
          <w:sz w:val="16"/>
          <w:szCs w:val="16"/>
          <w:i w:val="1"/>
          <w:iCs w:val="1"/>
          <w:color w:val="auto"/>
        </w:rPr>
        <w:t>westwoodgroup.com</w:t>
      </w:r>
      <w:r>
        <w:rPr>
          <w:rFonts w:ascii="Arial" w:cs="Arial" w:eastAsia="Arial" w:hAnsi="Arial"/>
          <w:sz w:val="16"/>
          <w:szCs w:val="16"/>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The Audit Committee met five times during 2020. All members of the Audit Committee attended all of the meetings held in 2020.</w:t>
      </w:r>
    </w:p>
    <w:p>
      <w:pPr>
        <w:spacing w:after="0" w:line="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operates pursuant to a charter approved by our Board of Directors, which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Committee reviews periodically to determine if revisions are necessary or appropriate. A copy of the charter is posted on our website at </w:t>
      </w:r>
      <w:r>
        <w:rPr>
          <w:rFonts w:ascii="Arial" w:cs="Arial" w:eastAsia="Arial" w:hAnsi="Arial"/>
          <w:sz w:val="18"/>
          <w:szCs w:val="18"/>
          <w:i w:val="1"/>
          <w:iCs w:val="1"/>
          <w:color w:val="auto"/>
        </w:rPr>
        <w:t>westwoodgroup.com</w:t>
      </w:r>
      <w:r>
        <w:rPr>
          <w:rFonts w:ascii="Arial" w:cs="Arial" w:eastAsia="Arial" w:hAnsi="Arial"/>
          <w:sz w:val="18"/>
          <w:szCs w:val="18"/>
          <w:color w:val="auto"/>
        </w:rPr>
        <w:t>. In addition, a copy of the charter is available upon written request to our Corporate Secretary at our principal executive office (200</w:t>
      </w:r>
      <w:r>
        <w:rPr>
          <w:rFonts w:ascii="Arial" w:cs="Arial" w:eastAsia="Arial" w:hAnsi="Arial"/>
          <w:sz w:val="18"/>
          <w:szCs w:val="18"/>
          <w:i w:val="1"/>
          <w:iCs w:val="1"/>
          <w:color w:val="auto"/>
        </w:rPr>
        <w:t xml:space="preserve"> </w:t>
      </w:r>
      <w:r>
        <w:rPr>
          <w:rFonts w:ascii="Arial" w:cs="Arial" w:eastAsia="Arial" w:hAnsi="Arial"/>
          <w:sz w:val="18"/>
          <w:szCs w:val="18"/>
          <w:color w:val="auto"/>
        </w:rPr>
        <w:t>Crescent Court, Suite 1200, Dallas, Texas 75201). The Compensation Committee authorizes and determines all compensation for our executive officers, administers our incentive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7" w:right="339" w:bottom="1440" w:gutter="0" w:footer="0" w:header="0"/>
        </w:sectPr>
      </w:pPr>
    </w:p>
    <w:bookmarkStart w:id="14" w:name="page15"/>
    <w:bookmarkEnd w:id="14"/>
    <w:p>
      <w:pPr>
        <w:spacing w:after="0" w:line="301" w:lineRule="auto"/>
        <w:rPr>
          <w:sz w:val="20"/>
          <w:szCs w:val="20"/>
          <w:color w:val="auto"/>
        </w:rPr>
      </w:pPr>
      <w:r>
        <w:rPr>
          <w:rFonts w:ascii="Arial" w:cs="Arial" w:eastAsia="Arial" w:hAnsi="Arial"/>
          <w:sz w:val="16"/>
          <w:szCs w:val="16"/>
          <w:color w:val="auto"/>
        </w:rPr>
        <w:t>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and administers other matters relating to compensation and benefits. The Compensation Committee met six times during 2020. All members of the Compensation Committee attended all of the meetings held in 2020.</w:t>
      </w:r>
    </w:p>
    <w:p>
      <w:pPr>
        <w:spacing w:after="0" w:line="49"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i w:val="1"/>
          <w:iCs w:val="1"/>
          <w:color w:val="auto"/>
        </w:rPr>
        <w:t>Governance/Nominating Committee</w:t>
      </w:r>
      <w:r>
        <w:rPr>
          <w:rFonts w:ascii="Arial" w:cs="Arial" w:eastAsia="Arial" w:hAnsi="Arial"/>
          <w:sz w:val="16"/>
          <w:szCs w:val="16"/>
          <w:color w:val="auto"/>
        </w:rPr>
        <w:t>. The Governance/Nominating Committee operates pursuant to a charter approved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the Governance/Nominating Committee reviews periodically to determine if revisions are necessary or appropriate. A copy of the charter is posted on our website at </w:t>
      </w:r>
      <w:r>
        <w:rPr>
          <w:rFonts w:ascii="Arial" w:cs="Arial" w:eastAsia="Arial" w:hAnsi="Arial"/>
          <w:sz w:val="16"/>
          <w:szCs w:val="16"/>
          <w:i w:val="1"/>
          <w:iCs w:val="1"/>
          <w:color w:val="auto"/>
        </w:rPr>
        <w:t>westwoodgroup.com</w:t>
      </w:r>
      <w:r>
        <w:rPr>
          <w:rFonts w:ascii="Arial" w:cs="Arial" w:eastAsia="Arial" w:hAnsi="Arial"/>
          <w:sz w:val="16"/>
          <w:szCs w:val="16"/>
          <w:color w:val="auto"/>
        </w:rPr>
        <w:t>.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four times during 2020. All members of the Governance/Nominating Committee attended all of the meetings held in 2020.</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117"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 xml:space="preserve">Our Board of Directors has adopted Corporate Governance Guidelines regarding director independence, among other matters. The full text of our Corporate Governance Guidelines is available on our website at </w:t>
      </w:r>
      <w:r>
        <w:rPr>
          <w:rFonts w:ascii="Arial" w:cs="Arial" w:eastAsia="Arial" w:hAnsi="Arial"/>
          <w:sz w:val="16"/>
          <w:szCs w:val="16"/>
          <w:i w:val="1"/>
          <w:iCs w:val="1"/>
          <w:color w:val="auto"/>
        </w:rPr>
        <w:t>westwoodgroup.com</w:t>
      </w:r>
      <w:r>
        <w:rPr>
          <w:rFonts w:ascii="Arial" w:cs="Arial" w:eastAsia="Arial" w:hAnsi="Arial"/>
          <w:sz w:val="16"/>
          <w:szCs w:val="16"/>
          <w:color w:val="auto"/>
        </w:rPr>
        <w:t>. In addition, a copy of our Corporate Governance Guidelines is available upon written request to our Corporate Secretary at our principal executive office (200 Crescent Court, Suite 1200, Dallas, Texas 75201).</w:t>
      </w:r>
    </w:p>
    <w:p>
      <w:pPr>
        <w:spacing w:after="0" w:line="4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2020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73"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a result, the Board affirmatively determined that Messrs. Frank, Norman, Wooldridge and Ms. Masterson are "independent" as defined under SEC and NYSE rules. Ms. Byrne, who currently serves as a consultant to the Company, and Mr. Casey, who served as an executive officer of the Company during 2020, are not independent directors.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11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87"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117"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the Company's independent auditor. The Compensation Committee is responsible for overseeing risks relating to employment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557" w:right="37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policies and the Company's compensation and benefits programs.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84"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w:t>
      </w:r>
    </w:p>
    <w:p>
      <w:pPr>
        <w:spacing w:after="0" w:line="260" w:lineRule="auto"/>
        <w:rPr>
          <w:sz w:val="20"/>
          <w:szCs w:val="20"/>
          <w:color w:val="auto"/>
        </w:rPr>
      </w:pPr>
      <w:r>
        <w:rPr>
          <w:rFonts w:ascii="Arial" w:cs="Arial" w:eastAsia="Arial" w:hAnsi="Arial"/>
          <w:sz w:val="18"/>
          <w:szCs w:val="18"/>
          <w:color w:val="auto"/>
        </w:rPr>
        <w:t>Mr. Casey and Ms. Byrne serve on the Board, together with a supermajority of independent directors and three independent Board committees, provides the appropriate leadership structure to assist in effective risk oversight by the Board.</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part of its oversight of the Company's executive and non-executive compensation programs, the Compensation Committee considers the impact on our risk profile of our compensation programs, and the incentives created by the 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utilizes the following risk mitigating factors:</w:t>
      </w:r>
    </w:p>
    <w:p>
      <w:pPr>
        <w:spacing w:after="0" w:line="8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Discretionary authority to reduce annual cash incentive awards;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Long-term equity incentive awards to reward executives and other key employees for driving sustainable, profitable growth for stockholders and clients;</w:t>
      </w:r>
    </w:p>
    <w:p>
      <w:pPr>
        <w:spacing w:after="0" w:line="6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 and</w:t>
      </w:r>
    </w:p>
    <w:p>
      <w:pPr>
        <w:spacing w:after="0" w:line="6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Internal controls over financial reporting and other financial, operational and compliance policies and practices that are intended to prevent manipulation of performance.</w:t>
      </w:r>
    </w:p>
    <w:p>
      <w:pPr>
        <w:spacing w:after="0" w:line="62"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Nominees</w:t>
      </w:r>
    </w:p>
    <w:p>
      <w:pPr>
        <w:spacing w:after="0" w:line="11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uses the criteria listed above. The Governance/Nominating Committee believes these criteria are the key factors in identifying qualified director candidates.</w:t>
      </w:r>
    </w:p>
    <w:p>
      <w:pPr>
        <w:spacing w:after="0" w:line="7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Governance/Nominating Committee has a policy for considering new director candidates recommended by our stockholders if such recommendations are made in compliance with the following procedures. A stockholder wishing to recommend a candidate for inclusion as a director nominee in the proxy statement for our annual meeting must submit a written notice of the recommendation to our Corporate Secretary at our principal executive office. The submission must be received at our principal executive office not fewer than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meeting, then the deadline will be a reasonable time before we begin to print and mail our proxy materials. For the 2022 annual meeting, the deadline is November 18, 2021.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6" w:name="page17"/>
    <w:bookmarkEnd w:id="16"/>
    <w:p>
      <w:pPr>
        <w:ind w:firstLine="405"/>
        <w:spacing w:after="0" w:line="270" w:lineRule="auto"/>
        <w:rPr>
          <w:sz w:val="20"/>
          <w:szCs w:val="20"/>
          <w:color w:val="auto"/>
        </w:rPr>
      </w:pPr>
      <w:r>
        <w:rPr>
          <w:rFonts w:ascii="Arial" w:cs="Arial" w:eastAsia="Arial" w:hAnsi="Arial"/>
          <w:sz w:val="17"/>
          <w:szCs w:val="17"/>
          <w:color w:val="auto"/>
        </w:rPr>
        <w:t>To be valid, a stockholder's notice to the Corporate Secretary must set forth (i) the name and address of the stockholder recommending such candidate, as such information appears on our books (if the stockholder is a record holder), (ii) the class and number of shares of Westwood stock beneficially owned by the stockholder, if any, (iii) the name, age, business address and residence address of each candidate proposed in the notice, (iv) each candidate's biographical data and qualifications, (v) the class and number of shares of Westwood stock beneficially owned by the candidate, if any, (vi) a description of all arrangements or understandings between the stockholder (or between any person(s) at whose request the stockholder is making the recommendation) and each candidate, and (vii) any other information required to be disclosed in solicitations of proxies for election of directors or otherwise required pursuant to Regulation 14A under the Exchange Act. The foregoing information must be provided with respect to any person that the stockholder proposes to recommend for election or re-election as a director. The prospective candidate's signed written consent to being named in the proxy statement as a nominee and to serving as a director if elected must also be provided.</w:t>
      </w:r>
    </w:p>
    <w:p>
      <w:pPr>
        <w:spacing w:after="0" w:line="73"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For the 2021 Annual Meeting, our Governance/Nominating Committee has not received a candidate recommendation from any stockholder (or group of stockholders), including any stockholder (or group of stockholders) that beneficially owns more than five percent of our common stock.</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11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compliance@westwoodgroup.com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58"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2020 annual meeting of stockholders.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Arial" w:cs="Arial" w:eastAsia="Arial" w:hAnsi="Arial"/>
          <w:sz w:val="18"/>
          <w:szCs w:val="18"/>
          <w:i w:val="1"/>
          <w:iCs w:val="1"/>
          <w:color w:val="auto"/>
        </w:rPr>
        <w:t>westwoodgroup.com</w:t>
      </w:r>
      <w:r>
        <w:rPr>
          <w:rFonts w:ascii="Arial" w:cs="Arial" w:eastAsia="Arial" w:hAnsi="Arial"/>
          <w:sz w:val="18"/>
          <w:szCs w:val="18"/>
          <w:color w:val="auto"/>
        </w:rPr>
        <w:t>.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80"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Our employees are required to report any conduct that they believe could in any way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February 2019, the Board reduced its director compensation arrangements as a result of the Company's 2018 financial performance. For 2020, we paid each non-employee member of our Board of Directors a $62,000 annual retainer. The Chairman of the Board received an additional $20,000 annual retainer, the committee chairs for the Audit and Compensation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$90,000 on the date of the award.</w:t>
      </w:r>
    </w:p>
    <w:p>
      <w:pPr>
        <w:spacing w:after="0" w:line="8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significant decline in the price of the Company's common stock causes a non-employee director's holdings to fall below the applicable threshold, the non-employee director will not be required to purchase additional shares to meet the threshold but are required to hold 50% of net shares acquired through vesting of equity-based compensation programs until holdings above the threshold have again been achieved. Compliance with these stock ownership guidelines is evaluated periodically as determined by our Board of Directors. Given the significant decline in the price of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57" w:right="359" w:bottom="1440" w:gutter="0" w:footer="0" w:header="0"/>
        </w:sectPr>
      </w:pPr>
    </w:p>
    <w:bookmarkStart w:id="17" w:name="page18"/>
    <w:bookmarkEnd w:id="17"/>
    <w:p>
      <w:pPr>
        <w:ind w:right="20"/>
        <w:spacing w:after="0" w:line="308" w:lineRule="auto"/>
        <w:rPr>
          <w:sz w:val="20"/>
          <w:szCs w:val="20"/>
          <w:color w:val="auto"/>
        </w:rPr>
      </w:pPr>
      <w:r>
        <w:rPr>
          <w:rFonts w:ascii="Arial" w:cs="Arial" w:eastAsia="Arial" w:hAnsi="Arial"/>
          <w:sz w:val="17"/>
          <w:szCs w:val="17"/>
          <w:color w:val="auto"/>
        </w:rPr>
        <w:t>Company's stock over the course of 2020, the value of shares held by certain directors fell below the minimum holding requirements. All such directors are in compliance with the policy by holding the required net vested shares until such time as the minimum is once again achieved.</w:t>
      </w:r>
    </w:p>
    <w:p>
      <w:pPr>
        <w:spacing w:after="0" w:line="3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Summary Compensation Table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or Paid in</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Other</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Stock Awards</w:t>
            </w:r>
          </w:p>
        </w:tc>
        <w:tc>
          <w:tcPr>
            <w:tcW w:w="144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18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Cash</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8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Pr>
          <w:p>
            <w:pPr>
              <w:spacing w:after="0"/>
              <w:rPr>
                <w:sz w:val="16"/>
                <w:szCs w:val="16"/>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 (2)</w:t>
            </w:r>
          </w:p>
        </w:tc>
        <w:tc>
          <w:tcPr>
            <w:tcW w:w="100" w:type="dxa"/>
            <w:vAlign w:val="bottom"/>
          </w:tcPr>
          <w:p>
            <w:pPr>
              <w:spacing w:after="0"/>
              <w:rPr>
                <w:sz w:val="16"/>
                <w:szCs w:val="16"/>
                <w:color w:val="auto"/>
              </w:rPr>
            </w:pPr>
          </w:p>
        </w:tc>
        <w:tc>
          <w:tcPr>
            <w:tcW w:w="144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308,123</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420" w:type="dxa"/>
            <w:vAlign w:val="bottom"/>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Geoffrey R. Norman</w:t>
            </w:r>
          </w:p>
        </w:tc>
        <w:tc>
          <w:tcPr>
            <w:tcW w:w="1420" w:type="dxa"/>
            <w:vAlign w:val="bottom"/>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_______________________________</w:t>
      </w:r>
    </w:p>
    <w:p>
      <w:pPr>
        <w:spacing w:after="0" w:line="6" w:lineRule="exact"/>
        <w:rPr>
          <w:sz w:val="20"/>
          <w:szCs w:val="20"/>
          <w:color w:val="auto"/>
        </w:rPr>
      </w:pPr>
    </w:p>
    <w:p>
      <w:pPr>
        <w:ind w:left="340" w:right="80" w:hanging="332"/>
        <w:spacing w:after="0" w:line="241" w:lineRule="auto"/>
        <w:tabs>
          <w:tab w:leader="none" w:pos="328" w:val="left"/>
        </w:tabs>
        <w:numPr>
          <w:ilvl w:val="0"/>
          <w:numId w:val="47"/>
        </w:numPr>
        <w:rPr>
          <w:rFonts w:ascii="Arial" w:cs="Arial" w:eastAsia="Arial" w:hAnsi="Arial"/>
          <w:sz w:val="14"/>
          <w:szCs w:val="14"/>
          <w:color w:val="auto"/>
        </w:rPr>
      </w:pPr>
      <w:r>
        <w:rPr>
          <w:rFonts w:ascii="Arial" w:cs="Arial" w:eastAsia="Arial" w:hAnsi="Arial"/>
          <w:sz w:val="14"/>
          <w:szCs w:val="14"/>
          <w:color w:val="auto"/>
        </w:rPr>
        <w:t>Susan M. Byrne earned $146,123 as a consultant for the Company from January 1, 2020 to December 31, 2020. Each non-employee director also earns a $1,000 annual retainer and $1,000 for each regularly scheduled quarterly meeting for serving on the separate Board of Directors of Westwood Trust.</w:t>
      </w:r>
    </w:p>
    <w:p>
      <w:pPr>
        <w:ind w:left="340" w:right="120" w:hanging="332"/>
        <w:spacing w:after="0" w:line="244" w:lineRule="auto"/>
        <w:tabs>
          <w:tab w:leader="none" w:pos="328"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2020 in accordance with Accounting Standards Codification Topic 718 ("ASC 718"), "Stock Compensation." The assumptions used in the valuation of the restricted stock awards are discussed in Note 10 "Employee Benefits" of our audited financial statements, which are included in our 2020 Annual Report on Form 10-K. All restricted stock grants were made under the Seventh Amended and Restated Westwood Holdings Group, Inc. Stock Incentive Plan and are subject to a one-year vesting period as described above.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our directors, other than Brian O. Casey, held the following unvested restricted stock: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35"/>
        </w:trPr>
        <w:tc>
          <w:tcPr>
            <w:tcW w:w="978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88"/>
        </w:trPr>
        <w:tc>
          <w:tcPr>
            <w:tcW w:w="97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Susan M. Byrne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29"/>
        </w:trPr>
        <w:tc>
          <w:tcPr>
            <w:tcW w:w="9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Richard M. Frank</w:t>
            </w:r>
            <w:r>
              <w:rPr>
                <w:rFonts w:ascii="Arial" w:cs="Arial" w:eastAsia="Arial" w:hAnsi="Arial"/>
                <w:sz w:val="23"/>
                <w:szCs w:val="23"/>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Ellen H. Masterson</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30"/>
        </w:trPr>
        <w:tc>
          <w:tcPr>
            <w:tcW w:w="9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Geoffrey R. Norman</w:t>
            </w:r>
            <w:r>
              <w:rPr>
                <w:rFonts w:ascii="Arial" w:cs="Arial" w:eastAsia="Arial" w:hAnsi="Arial"/>
                <w:sz w:val="23"/>
                <w:szCs w:val="23"/>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Raymond E. Wooldridge</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w:t>
      </w:r>
    </w:p>
    <w:p>
      <w:pPr>
        <w:spacing w:after="0" w:line="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Issued on April 29, 2020 and have a vesting date of April 29, 2021, subject to such director's continued service as a director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557" w:right="359" w:bottom="1440" w:gutter="0" w:footer="0" w:header="0"/>
        </w:sectPr>
      </w:pPr>
    </w:p>
    <w:bookmarkStart w:id="18" w:name="page19"/>
    <w:bookmarkEnd w:id="18"/>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Biographical information regarding Westwood's executive officers and other key employees during the 2020 fiscal year is as follows: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57</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Murray "Terry" Forbes III, </w:t>
      </w:r>
      <w:r>
        <w:rPr>
          <w:rFonts w:ascii="Arial" w:cs="Arial" w:eastAsia="Arial" w:hAnsi="Arial"/>
          <w:sz w:val="18"/>
          <w:szCs w:val="18"/>
          <w:color w:val="auto"/>
        </w:rPr>
        <w:t>age 43, has served as Senior Vice President, Chief Financial Officer and Treasurer since November 2018. Previously,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Finance from December 2014 to October 2018. Prior to joining Westwood, Mr. Forbes served as Senior Director and Assistant Controller of CEC. CEC was an NYSE-listed company until February 2014. From 2000 to 2012, he was with KPMG LLP, most recently serving as an audit senior manager. Mr. Forbes earned a B.B.A. in Accounting from the University of Richmond. He is a Certified Public Accountant and is a member of the American Institute of Certified Public Accountants.</w:t>
      </w:r>
    </w:p>
    <w:p>
      <w:pPr>
        <w:spacing w:after="0" w:line="8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Fabian Gomez, </w:t>
      </w:r>
      <w:r>
        <w:rPr>
          <w:rFonts w:ascii="Arial" w:cs="Arial" w:eastAsia="Arial" w:hAnsi="Arial"/>
          <w:sz w:val="18"/>
          <w:szCs w:val="18"/>
          <w:color w:val="auto"/>
        </w:rPr>
        <w:t>age 54, has served as Chief Operating Officer of Westwood since February 2018. Previously, he served as Chief Information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2015 and also served as Director of Operations beginning in February 2016. Before joining Westwood, Mr. Gomez worked at Invesco Ltd. where he served as the Global Head of Equity and Alternative Investment Applications and was responsible for strategic planning, oversight of all major project initiatives, and staff development at a global level. Prior to that, Mr. Gomez worked for McDonnell Investment Management where he served for six years as a Managing Director and Chief Information Officer. Mr. Gomez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8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i w:val="1"/>
          <w:iCs w:val="1"/>
          <w:color w:val="auto"/>
        </w:rPr>
        <w:t xml:space="preserve">Julie K. Gerron, </w:t>
      </w:r>
      <w:r>
        <w:rPr>
          <w:rFonts w:ascii="Arial" w:cs="Arial" w:eastAsia="Arial" w:hAnsi="Arial"/>
          <w:sz w:val="16"/>
          <w:szCs w:val="16"/>
          <w:color w:val="auto"/>
        </w:rPr>
        <w:t>age 53, has served as Senior Vice President, General Counsel of Westwood since March 2013, Chief Compliance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2017, and Corporate Secretary since March 2014. Previously, she served as Vice President, General Counsel from July 2007 to March 2013, as Vice President, Assistant General Counsel from July 2005 to July 2007, and as Vice President, Research Analyst from January 2004 to July 2005. Prior to joining Westwood, Ms. Gerron worked at Smith &amp; Summers LLC from 1998 to 2004, where she served as portfolio manager for various funds. From 1992 to 1998, she worked for branches of the State of Oklahoma government, including Assistant Attorney General, Deputy General Counsel of the Insurance Department, and Special Counsel to the Executive Director of the House of Representatives. Ms. Gerron earned a J.D. from the University of Texas School of Law and a B.B.A. in Finance from the University of Texas – Austin. She is a member of the State Bars of Texas and Oklahoma and is a member of the Texas State Bar Association. Ms. Gerron achieved the designation of Chartered Financial Analyst in 2003 and is a member of the CFA Institute.</w:t>
      </w:r>
    </w:p>
    <w:p>
      <w:pPr>
        <w:spacing w:after="0" w:line="5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i w:val="1"/>
          <w:iCs w:val="1"/>
          <w:color w:val="auto"/>
        </w:rPr>
        <w:t xml:space="preserve">Steven Paddon, </w:t>
      </w:r>
      <w:r>
        <w:rPr>
          <w:rFonts w:ascii="Arial" w:cs="Arial" w:eastAsia="Arial" w:hAnsi="Arial"/>
          <w:sz w:val="17"/>
          <w:szCs w:val="17"/>
          <w:color w:val="auto"/>
        </w:rPr>
        <w:t>age 60, joined Westwood in 2018 and serves as Senior Vice President, Head of Distribution where he is responsible for sales, client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product management and marketing in the institutional and intermediary channels. Prior to joining Westwood, he served as Head of Institutional and International Sales at Oppenheimer Funds where he oversaw the institutional business teams and led the firm’s international expansion. Mr. Paddon also spent eight years leading Consultant Relations and Institutional Business at Investec Asset Management. Earlier in his career, Mr. Paddon focused on institutional sales and client service at Credit Suisse Asset Management, State Street Research, and MetLife. Mr. Paddon earned a Bachelor of Arts in Economics from Wheaton College and holds FINRA Series 7 and 24 licenses.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45"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40" w:firstLine="405"/>
        <w:spacing w:after="0" w:line="271"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2020 for the following executive officers of the Company (collectively,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ind w:left="900"/>
              <w:spacing w:after="0"/>
              <w:rPr>
                <w:sz w:val="20"/>
                <w:szCs w:val="20"/>
                <w:color w:val="auto"/>
              </w:rPr>
            </w:pPr>
            <w:r>
              <w:rPr>
                <w:rFonts w:ascii="Arial" w:cs="Arial" w:eastAsia="Arial" w:hAnsi="Arial"/>
                <w:sz w:val="18"/>
                <w:szCs w:val="18"/>
                <w:b w:val="1"/>
                <w:bCs w:val="1"/>
                <w:color w:val="auto"/>
              </w:rPr>
              <w:t>Name</w:t>
            </w:r>
          </w:p>
        </w:tc>
        <w:tc>
          <w:tcPr>
            <w:tcW w:w="8840" w:type="dxa"/>
            <w:vAlign w:val="bottom"/>
          </w:tcPr>
          <w:p>
            <w:pPr>
              <w:ind w:left="41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20" w:type="dxa"/>
            <w:vAlign w:val="bottom"/>
            <w:tcBorders>
              <w:top w:val="single" w:sz="8" w:color="CCEEFF"/>
            </w:tcBorders>
            <w:shd w:val="clear" w:color="auto" w:fill="CCEEFF"/>
          </w:tcPr>
          <w:p>
            <w:pPr>
              <w:spacing w:after="0"/>
              <w:rPr>
                <w:sz w:val="19"/>
                <w:szCs w:val="19"/>
                <w:color w:val="auto"/>
              </w:rPr>
            </w:pPr>
          </w:p>
        </w:tc>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Terry Forbes</w:t>
            </w:r>
          </w:p>
        </w:tc>
        <w:tc>
          <w:tcPr>
            <w:tcW w:w="884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Operating Officer</w:t>
            </w: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8840" w:type="dxa"/>
            <w:vAlign w:val="bottom"/>
          </w:tcPr>
          <w:p>
            <w:pPr>
              <w:ind w:left="2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Head of Institutional Sales</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2020 Compensation Considerations for Named Executive Officers and Company Actions in Response to COVID-19</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Compensation Committee realized early on that 2020 was going to be a year unlike any other when the challenges confronting asset managers became even more complicated as Covid-19 took hold. Our investment teams began managing portfolios remotely, our distribution professionals interacted online with clients, consultants and prospects and our support teams seamlessly worked from their homes. Years of training and investment in technology paid off!</w:t>
      </w:r>
    </w:p>
    <w:p>
      <w:pPr>
        <w:spacing w:after="0" w:line="7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Amid the pandemic, Westwood implemented several tough decisions, shutting down Westwood International Advisors ("WIA") in Canada and other non-strategic investment activities and suspending the dividend to preserve our financial flexibility amid uncertainty. Partly as a result of these actions, our headcount declined from 165 to 136 by year end. Bright spots in this strange year included strong investment performance across many asset classes, several new product introductions, the successful outsourcing of our trading operation, expansion of our partner private bank’s reach and reaping significant operational and financial rewards from early investments we made in InvestCloud, a leading edge technology firm.</w:t>
      </w:r>
    </w:p>
    <w:p>
      <w:pPr>
        <w:spacing w:after="0" w:line="6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WIA’s closure contributed to a 14% decline in assets under management, which ended the year at $13 billion, and lower average assets caused by net outflows led to a 23% decrease in total revenue. Costs associated with WIA’s closure and repatriation of Canadian cash, along with other non-recurring expenses, resulted in a net loss of $8.9 million versus 2019’s net income of $5.9 million. Our overall financial condition remains strong with $82.6 million in liquid investments and no debt after repurchasing shares for $13.0 million in 2020.</w:t>
      </w:r>
    </w:p>
    <w:p>
      <w:pPr>
        <w:spacing w:after="0" w:line="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Given this challenging backdrop, the Compensation Committee fully supported management’s recommendation to focus on investment performance and distribution execution and agreed that compensation levels should be based on revenue sharing for the investment teams and clearly-defined metrics for the distribution teams. The need to retain top talent throughout the organization in a disruptive year was also recognized as essential to the company’s profitable growth as we emerge from the grip of the pandemic.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We are a focused investment management boutique and wealth management firm offering high-conviction and outcome-oriented solutions. Our investment services address a wide range of investment objectives and challenges for institutional investors, financial intermediaries and private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99"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Performance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2020 performance include:</w:t>
      </w:r>
    </w:p>
    <w:p>
      <w:pPr>
        <w:spacing w:after="0" w:line="117" w:lineRule="exact"/>
        <w:rPr>
          <w:sz w:val="20"/>
          <w:szCs w:val="20"/>
          <w:color w:val="auto"/>
        </w:rPr>
      </w:pPr>
    </w:p>
    <w:p>
      <w:pPr>
        <w:ind w:left="660" w:right="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AUM as of December 31, 2020 totaled $13.0 billion, a 14% decrease compared to December 31, 2019. Quarterly average AUM decreased 21% to $12.4 billion for 2020 compared to 2019, which contributed to a 23% decrease in total revenue from 2019.</w:t>
      </w:r>
    </w:p>
    <w:p>
      <w:pPr>
        <w:spacing w:after="0" w:line="62"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LargeCap Value, SMidCap, AllCap Value, High Income, Alternative Income, Income Opportunity and Total Return strategies exhibited strong performance by beating their primary benchmarks for the year.</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$4.2 million non-cash reclassification of foreign currency translation adjustments from Accumulated Other Comprehensive Income (Loss) to Net Income (Loss), with no impact on Stockholder's Equity, following the closure of WIA.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$3.4 million non-cash write-off of historical Advisory goodwill to reflect lower market capitalization and Advisory net outflows.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Excluding the impact of the goodwill impairment discussed above, our operating expenses decreased 18% from 2019.</w:t>
      </w:r>
    </w:p>
    <w:p>
      <w:pPr>
        <w:spacing w:after="0" w:line="117"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effective tax rate decreased to (17.9)% compared to 37.1% for 2019, primarily due to closure of WIA, permanent differences between book and tax restricted stock expense due to a decrease in our stock price between the grant and vesting dates, and permanent differences related to goodwill impairment, partially offset by a state tax refund.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repurchased 679,756 shares of our common stock at an aggregate purchase price of $13.0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$82.6 million and no debt as of December 31, 2020</w:t>
      </w:r>
      <w:r>
        <w:rPr>
          <w:rFonts w:ascii="Arial" w:cs="Arial" w:eastAsia="Arial" w:hAnsi="Arial"/>
          <w:sz w:val="17"/>
          <w:szCs w:val="17"/>
          <w:i w:val="1"/>
          <w:i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Actions in Response to COVID-19 and Key 2020 Compensation Decisions for Named Executive Officers</w:t>
      </w:r>
    </w:p>
    <w:p>
      <w:pPr>
        <w:spacing w:after="0" w:line="12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light of the uncertainty and adverse global business impacts of the COVID-19 pandemic, we have taken proactive measures to support our teams and communities, and to address the many operational impacts stemming from the virus. Our U.S. investment teams performed well and we had solid momentum in our sales and distribution efforts prior to the COVID-19 shutdown. The investments we have made in technology over the past several years allowed our entire team to work seamlessly from remote locations. We held daily management team meetings and weekly crisis team meetings to manage through the early stages of the global pandemic. In addition, our Board and senior management held meetings remotely and were in regular contact throughout the year regarding business conditions and the health and safety of our employees.</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proud of the way our Westwood team stepped up, delivering strong performance across many products, serving our customers well in creative, socially-distant ways, and leading Westwood to win another “Best Places to Work” award.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focus on investing in technology is paying off in two ways: with improvements in the way we manage our business and communicate with customers, and also the financial returns from our investment in InvestCloud.</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Prior to the onset of the pandemic in early March 2020, the Compensation Committee met during its regularly scheduled February meeting to approve 2020 compensation for our named executive officers as highlighted below.</w:t>
      </w:r>
    </w:p>
    <w:p>
      <w:pPr>
        <w:spacing w:after="0" w:line="62" w:lineRule="exact"/>
        <w:rPr>
          <w:sz w:val="20"/>
          <w:szCs w:val="20"/>
          <w:color w:val="auto"/>
        </w:rPr>
      </w:pPr>
    </w:p>
    <w:p>
      <w:pPr>
        <w:ind w:left="660" w:hanging="328"/>
        <w:spacing w:after="0" w:line="275"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Compensation for the CEO:</w:t>
      </w:r>
      <w:r>
        <w:rPr>
          <w:rFonts w:ascii="Arial" w:cs="Arial" w:eastAsia="Arial" w:hAnsi="Arial"/>
          <w:sz w:val="17"/>
          <w:szCs w:val="17"/>
          <w:color w:val="auto"/>
        </w:rPr>
        <w:t xml:space="preserve"> For 2019, the Compensation Committee approved a total compensation package for Mr. Casey consisting of an annual base salary and a 401(k) Company matching contribution. Mr. Casey’s 2020 salary was increased from $650,000 to $750,000 to be competitive based on market data, but, for the second consecutive year, he did not participate in the annual cash incentive plan nor did he receive any grants of equity-based compensation awards. Elimination of these elements of his compensation package in 2020 was due to the Company's performance and was arrived at by mutual agreement between the Board and Mr. Casey.</w:t>
      </w:r>
    </w:p>
    <w:p>
      <w:pPr>
        <w:spacing w:after="0" w:line="68"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Compensation for Other Named Executive Officers</w:t>
      </w:r>
      <w:r>
        <w:rPr>
          <w:rFonts w:ascii="Arial" w:cs="Arial" w:eastAsia="Arial" w:hAnsi="Arial"/>
          <w:sz w:val="18"/>
          <w:szCs w:val="18"/>
          <w:color w:val="auto"/>
        </w:rPr>
        <w:t>: For the other named executive officers, the Compensation Committee approved increases to base salaries averaging 4.3%, approximating the salary increases for all other Westwood employees for 2020. In its February 2020 meeting, the Compensation Committee approved grants of restricted stock to other named executive officers with vesting terms consistent with awards granted in 2019 and cash incentive compensation.</w:t>
      </w:r>
    </w:p>
    <w:p>
      <w:pPr>
        <w:spacing w:after="0" w:line="79"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In its February 2021 meeting, the Compensation Committee approved annual cash incentive awards to other named executive officers, excluding the CEO, in consideration of Company performance, individual performances, and the management team’s response to the pandemic. These compensation decisions are described further in the following sections.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121"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The intellectual capabilities of our employees are among the most important assets of our firm. As an asset manager, our financial results are primarily based upon the level of assets we manage, which is dependent on our ability to generate competitive long-term investment performance, build strong relationships with clients, investment consulting firms and other financial intermediaries, provide attentive client service, and attract and develop new client relationships, all of which rely, in part, on the intellectual capabilities of our employees, including the named executive officers.</w:t>
      </w:r>
    </w:p>
    <w:p>
      <w:pPr>
        <w:spacing w:after="0" w:line="49" w:lineRule="exact"/>
        <w:rPr>
          <w:sz w:val="20"/>
          <w:szCs w:val="20"/>
          <w:color w:val="auto"/>
        </w:rPr>
      </w:pPr>
    </w:p>
    <w:p>
      <w:pPr>
        <w:jc w:val="both"/>
        <w:ind w:right="60" w:firstLine="405"/>
        <w:spacing w:after="0" w:line="311" w:lineRule="auto"/>
        <w:rPr>
          <w:sz w:val="20"/>
          <w:szCs w:val="20"/>
          <w:color w:val="auto"/>
        </w:rPr>
      </w:pPr>
      <w:r>
        <w:rPr>
          <w:rFonts w:ascii="Arial" w:cs="Arial" w:eastAsia="Arial" w:hAnsi="Arial"/>
          <w:sz w:val="16"/>
          <w:szCs w:val="16"/>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and long-term equity awards) that attract, motivate and retain talented executives who can contribute to the success of our business.</w:t>
      </w:r>
    </w:p>
    <w:p>
      <w:pPr>
        <w:spacing w:after="0" w:line="41"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The Company's executive compensation and compensation-related governance policies and practices are designed to reward the named executive officers for the achievement of strategic and operational goals which we believe will lead to increases in stockholder returns, while discouraging unnecessary or excessive risk taking, and incorporate many best practices, including the following: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03" w:right="339" w:bottom="1440" w:gutter="0" w:footer="0" w:header="0"/>
        </w:sectPr>
      </w:pPr>
    </w:p>
    <w:bookmarkStart w:id="22" w:name="page23"/>
    <w:bookmarkEnd w:id="22"/>
    <w:tbl>
      <w:tblPr>
        <w:tblLayout w:type="fixed"/>
        <w:tblInd w:w="390" w:type="dxa"/>
        <w:tblCellMar>
          <w:top w:w="0" w:type="dxa"/>
          <w:left w:w="0" w:type="dxa"/>
          <w:bottom w:w="0" w:type="dxa"/>
          <w:right w:w="0" w:type="dxa"/>
        </w:tblCellMar>
      </w:tblPr>
      <w:tr>
        <w:trPr>
          <w:trHeight w:val="243"/>
        </w:trPr>
        <w:tc>
          <w:tcPr>
            <w:tcW w:w="5260" w:type="dxa"/>
            <w:vAlign w:val="bottom"/>
            <w:tcBorders>
              <w:top w:val="single" w:sz="8" w:color="auto"/>
              <w:left w:val="single" w:sz="8" w:color="auto"/>
              <w:bottom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rPr>
              <w:t>What We Do</w:t>
            </w:r>
          </w:p>
        </w:tc>
        <w:tc>
          <w:tcPr>
            <w:tcW w:w="5260" w:type="dxa"/>
            <w:vAlign w:val="bottom"/>
            <w:tcBorders>
              <w:top w:val="single" w:sz="8" w:color="auto"/>
              <w:bottom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What We Do Not Do</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ü Variable "at risk" compensation accounts for a significantly larger</w:t>
            </w:r>
          </w:p>
        </w:tc>
        <w:tc>
          <w:tcPr>
            <w:tcW w:w="52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û We do not provide significant perquisites to executives</w:t>
            </w: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portion of pay than fixed base salary</w:t>
            </w:r>
          </w:p>
        </w:tc>
        <w:tc>
          <w:tcPr>
            <w:tcW w:w="5260" w:type="dxa"/>
            <w:vAlign w:val="bottom"/>
            <w:tcBorders>
              <w:bottom w:val="single" w:sz="8" w:color="auto"/>
              <w:right w:val="single" w:sz="8" w:color="auto"/>
            </w:tcBorders>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ü Compensation outcomes are aligned with performance achievement</w:t>
            </w:r>
          </w:p>
        </w:tc>
        <w:tc>
          <w:tcPr>
            <w:tcW w:w="52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2"/>
              </w:rPr>
              <w:t>û We prohibit hedging and short-sales of Company stock by executives</w:t>
            </w:r>
          </w:p>
        </w:tc>
      </w:tr>
      <w:tr>
        <w:trPr>
          <w:trHeight w:val="229"/>
        </w:trPr>
        <w:tc>
          <w:tcPr>
            <w:tcW w:w="5260" w:type="dxa"/>
            <w:vAlign w:val="bottom"/>
            <w:tcBorders>
              <w:left w:val="single" w:sz="8" w:color="auto"/>
              <w:bottom w:val="single" w:sz="8" w:color="auto"/>
              <w:right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and directors</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ü Incentive plan payouts for executives have caps on the amount that</w:t>
            </w:r>
          </w:p>
        </w:tc>
        <w:tc>
          <w:tcPr>
            <w:tcW w:w="52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8"/>
              </w:rPr>
              <w:t>û We discourage executives and directors from pledging Company</w:t>
            </w:r>
          </w:p>
        </w:tc>
      </w:tr>
      <w:tr>
        <w:trPr>
          <w:trHeight w:val="230"/>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can be earned</w:t>
            </w:r>
          </w:p>
        </w:tc>
        <w:tc>
          <w:tcPr>
            <w:tcW w:w="52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stock or holding shares in a margin account</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Change-in-control severance is "double trigger" for our CEO</w:t>
            </w:r>
          </w:p>
        </w:tc>
        <w:tc>
          <w:tcPr>
            <w:tcW w:w="52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6"/>
              </w:rPr>
              <w:t>û We do not pay dividends on unvested equity-based compensation</w:t>
            </w:r>
          </w:p>
        </w:tc>
      </w:tr>
      <w:tr>
        <w:trPr>
          <w:trHeight w:val="230"/>
        </w:trPr>
        <w:tc>
          <w:tcPr>
            <w:tcW w:w="5260" w:type="dxa"/>
            <w:vAlign w:val="bottom"/>
            <w:tcBorders>
              <w:left w:val="single" w:sz="8" w:color="auto"/>
              <w:bottom w:val="single" w:sz="8" w:color="auto"/>
              <w:right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awards</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ü Officers and directors are required to own significant amounts of</w:t>
            </w:r>
          </w:p>
        </w:tc>
        <w:tc>
          <w:tcPr>
            <w:tcW w:w="52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5"/>
              </w:rPr>
              <w:t>û We prohibit repricing of stock options without shareholder approval</w:t>
            </w: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Company stock</w:t>
            </w:r>
          </w:p>
        </w:tc>
        <w:tc>
          <w:tcPr>
            <w:tcW w:w="5260" w:type="dxa"/>
            <w:vAlign w:val="bottom"/>
            <w:tcBorders>
              <w:bottom w:val="single" w:sz="8" w:color="auto"/>
              <w:right w:val="single" w:sz="8" w:color="auto"/>
            </w:tcBorders>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Clawback policy allowing recoupment of incentives for financial</w:t>
            </w:r>
          </w:p>
        </w:tc>
        <w:tc>
          <w:tcPr>
            <w:tcW w:w="52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4"/>
              </w:rPr>
              <w:t>û We do not gross-up change-in-control related benefits for excise tax</w:t>
            </w: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restatements due to misconduct or fraud</w:t>
            </w:r>
          </w:p>
        </w:tc>
        <w:tc>
          <w:tcPr>
            <w:tcW w:w="5260" w:type="dxa"/>
            <w:vAlign w:val="bottom"/>
            <w:tcBorders>
              <w:bottom w:val="single" w:sz="8" w:color="auto"/>
              <w:right w:val="single" w:sz="8" w:color="auto"/>
            </w:tcBorders>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Provide reasonable post-employment and change-in-control</w:t>
            </w:r>
          </w:p>
        </w:tc>
        <w:tc>
          <w:tcPr>
            <w:tcW w:w="5260" w:type="dxa"/>
            <w:vAlign w:val="bottom"/>
          </w:tcPr>
          <w:p>
            <w:pPr>
              <w:spacing w:after="0"/>
              <w:rPr>
                <w:sz w:val="14"/>
                <w:szCs w:val="14"/>
                <w:color w:val="auto"/>
              </w:rPr>
            </w:pP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arrangements</w:t>
            </w:r>
          </w:p>
        </w:tc>
        <w:tc>
          <w:tcPr>
            <w:tcW w:w="5260" w:type="dxa"/>
            <w:vAlign w:val="bottom"/>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The Committee reviews competitive compensation market data</w:t>
            </w:r>
          </w:p>
        </w:tc>
        <w:tc>
          <w:tcPr>
            <w:tcW w:w="5260" w:type="dxa"/>
            <w:vAlign w:val="bottom"/>
          </w:tcPr>
          <w:p>
            <w:pPr>
              <w:spacing w:after="0"/>
              <w:rPr>
                <w:sz w:val="14"/>
                <w:szCs w:val="14"/>
                <w:color w:val="auto"/>
              </w:rPr>
            </w:pP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relative to our peer group and our industry</w:t>
            </w:r>
          </w:p>
        </w:tc>
        <w:tc>
          <w:tcPr>
            <w:tcW w:w="5260" w:type="dxa"/>
            <w:vAlign w:val="bottom"/>
          </w:tcPr>
          <w:p>
            <w:pPr>
              <w:spacing w:after="0"/>
              <w:rPr>
                <w:sz w:val="19"/>
                <w:szCs w:val="19"/>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Advisory Vote on Executive Compensation ("Say-on-Pay")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 to the 2020 Say-on-Pay Vote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At our 2020 Annual Meeting of Stockholders held in April 2020, less than 50% of the votes cast (excluding abstentions and broker non-votes) on the say-on-pay proposal at the meeting were voted in favor of the proposal. We were disappointed to receive low support for our say-on-pay proposal, and the Compensation Committee is committed to gaining a higher and more consistent level of support for our executive compensation program. Following the vote, we sought feedback from stockholders to better understand what motivated their votes and to discuss potential actions we could take to address their concerns about our executive compensation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Engagement</w:t>
      </w:r>
    </w:p>
    <w:p>
      <w:pPr>
        <w:spacing w:after="0" w:line="11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In 2020 and early 2021, we reached out to representatives from our largest 15 stockholders representing over 54% of the shares voted in order to obtain feedback on our executive compensation program. The Chair of the Compensation Committee, as well as other senior officers, excluding the CEO, engaged in discussions with stockholders responding to our request for meetings.</w:t>
      </w:r>
    </w:p>
    <w:p>
      <w:pPr>
        <w:spacing w:after="0" w:line="7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Stockholders expressed their views and perspectives on our executive compensation program, with feedback generally focused on the following key themes:</w:t>
      </w:r>
    </w:p>
    <w:p>
      <w:pPr>
        <w:spacing w:after="0" w:line="62" w:lineRule="exact"/>
        <w:rPr>
          <w:sz w:val="20"/>
          <w:szCs w:val="20"/>
          <w:color w:val="auto"/>
        </w:rPr>
      </w:pPr>
    </w:p>
    <w:p>
      <w:pPr>
        <w:ind w:left="660" w:right="40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need for more information on the process for establishing performance goals and better establishing the link between executive pay and Company performance,</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need for more information on the process behind the Compensation Committee’s decisions on executive compensation and the rationale for the existing structure and approach, and</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rationale and philosophy underlying the CEO’s 2019 compensation, which excluded an annual cash incentive opportunity and grants of equity-based compensation.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Compensation Committee values feedback by stockholders and is committed to the following actions in response:</w:t>
      </w:r>
    </w:p>
    <w:p>
      <w:pPr>
        <w:spacing w:after="0" w:line="117" w:lineRule="exact"/>
        <w:rPr>
          <w:sz w:val="20"/>
          <w:szCs w:val="20"/>
          <w:color w:val="auto"/>
        </w:rPr>
      </w:pPr>
    </w:p>
    <w:p>
      <w:pPr>
        <w:ind w:left="660" w:right="48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reach out to our large stockholders on an annual basis to engage in discussions regarding our executive compensation program and corporate governance structure and practices.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evolve and improve the transparency of our philosophy, Compensation Committee process, and compensation decisions with respect to our named executive officers, starting with this proxy statement.</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916" w:right="439" w:bottom="1440" w:gutter="0" w:footer="0" w:header="0"/>
        </w:sectPr>
      </w:pPr>
    </w:p>
    <w:bookmarkStart w:id="23" w:name="page24"/>
    <w:bookmarkEnd w:id="23"/>
    <w:p>
      <w:pPr>
        <w:ind w:left="660" w:right="40" w:hanging="328"/>
        <w:spacing w:after="0" w:line="25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2021, the short-term cash incentives for our named executive officers will be tied to metrics consistent with increasing shareholder value, including earnings before taxes and strategic initiatives, and a portion will be at risk if certain target thresholds are not achieved. This evolution of our executive compensation will continue for 2022, consistent with a comprehensive and ongoing evaluation of our future executive compensation plans. Our 2022 proxy statement will include details of these outcomes.</w:t>
      </w:r>
    </w:p>
    <w:p>
      <w:pPr>
        <w:spacing w:after="0" w:line="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remain committed to achieving consistently strong stockholder support for our compensation programs and hope that our engagement efforts and responsiveness will merit strong support from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62" w:lineRule="exact"/>
        <w:rPr>
          <w:sz w:val="20"/>
          <w:szCs w:val="20"/>
          <w:color w:val="auto"/>
        </w:rPr>
      </w:pPr>
    </w:p>
    <w:p>
      <w:pPr>
        <w:ind w:left="660" w:right="1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As an executive's leadership role expands, and the scope, duties and responsibilities of the executive's position increase, the Compensation Committee believes a greater portion of total compensation should be performance-based, should incentivize the retention of key executives, and base salary should be a relatively smaller portion of total compensation. The committee believes that the majority of an NEO's realized compensation should be driven by Company performance. As stated previously, CEO compensation in 2020 and 2019 did not follow this philosophy, as the Board and Mr. Casey mutually agreed to forego his upside potential compensation based on prevailing levels of corporate performance. However, Mr. Casey's significant holdings in Company stock continue to align his interests with other shareholders in the absence of additional stock-based compensation.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Executive Compensation Components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2020, the principal components of compensation for the named executive officers, other than the CEO, were:</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80" w:type="dxa"/>
            <w:vAlign w:val="bottom"/>
            <w:tcBorders>
              <w:top w:val="single" w:sz="8" w:color="auto"/>
              <w:left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Component of Pay</w:t>
            </w:r>
          </w:p>
        </w:tc>
        <w:tc>
          <w:tcPr>
            <w:tcW w:w="6580" w:type="dxa"/>
            <w:vAlign w:val="bottom"/>
            <w:tcBorders>
              <w:top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Purpose and Rationale</w:t>
            </w:r>
          </w:p>
        </w:tc>
        <w:tc>
          <w:tcPr>
            <w:tcW w:w="0" w:type="dxa"/>
            <w:vAlign w:val="bottom"/>
          </w:tcPr>
          <w:p>
            <w:pPr>
              <w:spacing w:after="0"/>
              <w:rPr>
                <w:sz w:val="1"/>
                <w:szCs w:val="1"/>
                <w:color w:val="auto"/>
              </w:rPr>
            </w:pPr>
          </w:p>
        </w:tc>
      </w:tr>
      <w:tr>
        <w:trPr>
          <w:trHeight w:val="169"/>
        </w:trPr>
        <w:tc>
          <w:tcPr>
            <w:tcW w:w="4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Base salary</w:t>
            </w:r>
          </w:p>
        </w:tc>
        <w:tc>
          <w:tcPr>
            <w:tcW w:w="65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Fixed portion of compensation to pay for executing primary day-to-day duties and</w:t>
            </w:r>
          </w:p>
        </w:tc>
        <w:tc>
          <w:tcPr>
            <w:tcW w:w="0" w:type="dxa"/>
            <w:vAlign w:val="bottom"/>
          </w:tcPr>
          <w:p>
            <w:pPr>
              <w:spacing w:after="0"/>
              <w:rPr>
                <w:sz w:val="1"/>
                <w:szCs w:val="1"/>
                <w:color w:val="auto"/>
              </w:rPr>
            </w:pPr>
          </w:p>
        </w:tc>
      </w:tr>
      <w:tr>
        <w:trPr>
          <w:trHeight w:val="229"/>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responsibilities</w:t>
            </w:r>
          </w:p>
        </w:tc>
        <w:tc>
          <w:tcPr>
            <w:tcW w:w="0" w:type="dxa"/>
            <w:vAlign w:val="bottom"/>
          </w:tcPr>
          <w:p>
            <w:pPr>
              <w:spacing w:after="0"/>
              <w:rPr>
                <w:sz w:val="1"/>
                <w:szCs w:val="1"/>
                <w:color w:val="auto"/>
              </w:rPr>
            </w:pPr>
          </w:p>
        </w:tc>
      </w:tr>
      <w:tr>
        <w:trPr>
          <w:trHeight w:val="223"/>
        </w:trPr>
        <w:tc>
          <w:tcPr>
            <w:tcW w:w="4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cash incentive awards</w:t>
            </w: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Variable at-risk element of pay to reward for achieving specific annual performance goals</w:t>
            </w:r>
          </w:p>
        </w:tc>
        <w:tc>
          <w:tcPr>
            <w:tcW w:w="0" w:type="dxa"/>
            <w:vAlign w:val="bottom"/>
          </w:tcPr>
          <w:p>
            <w:pPr>
              <w:spacing w:after="0"/>
              <w:rPr>
                <w:sz w:val="1"/>
                <w:szCs w:val="1"/>
                <w:color w:val="auto"/>
              </w:rPr>
            </w:pPr>
          </w:p>
        </w:tc>
      </w:tr>
      <w:tr>
        <w:trPr>
          <w:trHeight w:val="169"/>
        </w:trPr>
        <w:tc>
          <w:tcPr>
            <w:tcW w:w="4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Long-term equity awards</w:t>
            </w:r>
          </w:p>
        </w:tc>
        <w:tc>
          <w:tcPr>
            <w:tcW w:w="65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Variable at-risk element of pay to drive performance that delivers long-term shareholder</w:t>
            </w: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value, links the interests of our executives and shareholders and retains critical talent</w:t>
            </w:r>
          </w:p>
        </w:tc>
        <w:tc>
          <w:tcPr>
            <w:tcW w:w="0" w:type="dxa"/>
            <w:vAlign w:val="bottom"/>
          </w:tcPr>
          <w:p>
            <w:pPr>
              <w:spacing w:after="0"/>
              <w:rPr>
                <w:sz w:val="1"/>
                <w:szCs w:val="1"/>
                <w:color w:val="auto"/>
              </w:rPr>
            </w:pPr>
          </w:p>
        </w:tc>
      </w:tr>
      <w:tr>
        <w:trPr>
          <w:trHeight w:val="169"/>
        </w:trPr>
        <w:tc>
          <w:tcPr>
            <w:tcW w:w="4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Employee and post-retirement benefits</w:t>
            </w:r>
          </w:p>
        </w:tc>
        <w:tc>
          <w:tcPr>
            <w:tcW w:w="65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Market-competitive form of compensation to underpin the financial security and health</w:t>
            </w: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welfare of our executives during and after employment with Westwood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There is no pre-established target for the allocation between (i) cash and equity-based compensation and (ii) short-term and long-term incentive compensation. The Compensation Committee considers, among other things, Company performance, individual performance, and market compensation data, as well as its own subjective judgment to determine the appropriate level and mix of each component of the executive compensation program.</w:t>
      </w:r>
    </w:p>
    <w:p>
      <w:pPr>
        <w:spacing w:after="0" w:line="41"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As shown in the graph below, a significant portion of the named executive officers’ 2020 total direct compensation - ranging from 54% to 62% - represented "at risk" compensation, delivered in the form of performance-based annual cash incentive awards and time-based long-term equity awards. This compensation range excludes Mr. Casey, as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320" w:top="1003"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577215</wp:posOffset>
            </wp:positionV>
            <wp:extent cx="5572125" cy="4286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oversees the goals and objectives of the Company and the CEO, evaluates succession planning with respect to the CEO and evaluates the CEO’s performance. The Compensation Committee supports the Board by:</w:t>
      </w:r>
    </w:p>
    <w:p>
      <w:pPr>
        <w:spacing w:after="0" w:line="8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Establishing the executive compensation philosophy and objectives,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Overseeing the development and implementation of the Company’s compensation and benefits policies,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54"/>
        </w:numPr>
        <w:rPr>
          <w:rFonts w:ascii="Arial" w:cs="Arial" w:eastAsia="Arial" w:hAnsi="Arial"/>
          <w:sz w:val="21"/>
          <w:szCs w:val="21"/>
          <w:color w:val="auto"/>
        </w:rPr>
      </w:pPr>
      <w:r>
        <w:rPr>
          <w:rFonts w:ascii="Arial" w:cs="Arial" w:eastAsia="Arial" w:hAnsi="Arial"/>
          <w:sz w:val="17"/>
          <w:szCs w:val="17"/>
          <w:color w:val="auto"/>
        </w:rPr>
        <w:t>Reviewing and approving Company and individual goals relevant to the compensation of the CEO and other named executive officers,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Approving the compensation of the CEO, subject to ratification by the Board of Directors,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Approving the compensation of the other named executive officers.</w:t>
      </w:r>
    </w:p>
    <w:p>
      <w:pPr>
        <w:spacing w:after="0" w:line="94"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The Compensation Committee’s responsibilities under its charter are further described in the “Corporate Governance Information—Board Committees” section of this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Senior Management</w:t>
      </w:r>
    </w:p>
    <w:p>
      <w:pPr>
        <w:spacing w:after="0" w:line="162" w:lineRule="exact"/>
        <w:rPr>
          <w:sz w:val="20"/>
          <w:szCs w:val="20"/>
          <w:color w:val="auto"/>
        </w:rPr>
      </w:pPr>
    </w:p>
    <w:p>
      <w:pPr>
        <w:ind w:right="460" w:firstLine="405"/>
        <w:spacing w:after="0" w:line="311" w:lineRule="auto"/>
        <w:rPr>
          <w:sz w:val="20"/>
          <w:szCs w:val="20"/>
          <w:color w:val="auto"/>
        </w:rPr>
      </w:pPr>
      <w:r>
        <w:rPr>
          <w:rFonts w:ascii="Arial" w:cs="Arial" w:eastAsia="Arial" w:hAnsi="Arial"/>
          <w:sz w:val="16"/>
          <w:szCs w:val="16"/>
          <w:color w:val="auto"/>
        </w:rPr>
        <w:t>The CEO, while not a member of the Compensation Committee, attended all of the meetings of the Compensation Committee held in 2020 to contribute to and understand the Committee’s oversight of, and decisions relating to, executive compensation. The CEO did not attend portions of the meetings relating to his compensation. The Compensation Committee regularly conducts executive sessions without management present.</w:t>
      </w:r>
    </w:p>
    <w:p>
      <w:pPr>
        <w:spacing w:after="0" w:line="41"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The Compensation Committee also engages in an ongoing dialog with the CEO and the Committee’s independent compensation consultant in the evaluation and establishment of the elements of our executive compensation program. Further, the Committee received input from the Senior Vice President, Head of Human Capital in making executive compensation decisions.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The Role of the Independent Compensation Consultant</w:t>
      </w:r>
    </w:p>
    <w:p>
      <w:pPr>
        <w:spacing w:after="0" w:line="12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For 2020, the Compensation Committee retained Meridian Compensation Partners, LLC (“Meridian”) to serve as an independent consultant to the Committee to provide information and objective advice regarding executive compensation. The Committee did not direct Meridian to perform its services in any particular manner or under any particular method. The Committee has the final authority to hire and terminate the compensation consultant, and the Committee evaluates the compensation consultant annually. Meridian does not provide any services to the Company other than in its role as advisor to the Committee, and the Committee has determined that no conflicts of interest exist as a result of the engagement of Meridian. The Committee has also retained Meridian as its independent consultant on executive and director compensation for 2021.</w:t>
      </w:r>
    </w:p>
    <w:p>
      <w:pPr>
        <w:spacing w:after="0" w:line="70"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From time to time, Meridian contacts the Company's executive officers, and the Compensation Committee, for necessary information and makes presentations to and on behalf of the Compensation Committee that the Company's executive officers also receive.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21" w:lineRule="exact"/>
        <w:rPr>
          <w:sz w:val="20"/>
          <w:szCs w:val="20"/>
          <w:color w:val="auto"/>
        </w:rPr>
      </w:pPr>
    </w:p>
    <w:p>
      <w:pPr>
        <w:jc w:val="both"/>
        <w:ind w:right="420" w:firstLine="405"/>
        <w:spacing w:after="0" w:line="342" w:lineRule="auto"/>
        <w:rPr>
          <w:sz w:val="20"/>
          <w:szCs w:val="20"/>
          <w:color w:val="auto"/>
        </w:rPr>
      </w:pPr>
      <w:r>
        <w:rPr>
          <w:rFonts w:ascii="Arial" w:cs="Arial" w:eastAsia="Arial" w:hAnsi="Arial"/>
          <w:sz w:val="16"/>
          <w:szCs w:val="16"/>
          <w:color w:val="auto"/>
        </w:rPr>
        <w:t>Based on the foregoing philosophy and objectives, the Compensation Committee structures the executive compensation program to motivate our named executive officers to achieve the Company’s business objectives and strategies and to reward them for achieving such objectives and strategies.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Committee’s Annual Review Process</w:t>
      </w:r>
    </w:p>
    <w:p>
      <w:pPr>
        <w:spacing w:after="0" w:line="117"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The Compensation Committee’s process for overseeing the executive compensation program is conducted throughout the year based on an annual calendar of review and approval activities. The table below provides an overview of key activities in the review and approval of our executive compensation program.</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0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Establishing Target Compensation Opportunities and</w:t>
            </w:r>
          </w:p>
        </w:tc>
        <w:tc>
          <w:tcPr>
            <w:tcW w:w="676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w w:val="98"/>
              </w:rPr>
              <w:t>• Review and approve annual budget and performance objectives presented by senior</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Performance Objectives</w:t>
            </w: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337"/>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 Review and approve design of short- and long-term incentive programs for the year</w:t>
            </w:r>
          </w:p>
        </w:tc>
        <w:tc>
          <w:tcPr>
            <w:tcW w:w="0" w:type="dxa"/>
            <w:vAlign w:val="bottom"/>
          </w:tcPr>
          <w:p>
            <w:pPr>
              <w:spacing w:after="0"/>
              <w:rPr>
                <w:sz w:val="1"/>
                <w:szCs w:val="1"/>
                <w:color w:val="auto"/>
              </w:rPr>
            </w:pPr>
          </w:p>
        </w:tc>
      </w:tr>
      <w:tr>
        <w:trPr>
          <w:trHeight w:val="297"/>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 Review and approve target compensation opportunities for the CEO, subject to ratification</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the Board of Directors</w:t>
            </w:r>
          </w:p>
        </w:tc>
        <w:tc>
          <w:tcPr>
            <w:tcW w:w="0" w:type="dxa"/>
            <w:vAlign w:val="bottom"/>
          </w:tcPr>
          <w:p>
            <w:pPr>
              <w:spacing w:after="0"/>
              <w:rPr>
                <w:sz w:val="1"/>
                <w:szCs w:val="1"/>
                <w:color w:val="auto"/>
              </w:rPr>
            </w:pPr>
          </w:p>
        </w:tc>
      </w:tr>
      <w:tr>
        <w:trPr>
          <w:trHeight w:val="337"/>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 Review and approve target compensation opportunities for other named executive officers</w:t>
            </w:r>
          </w:p>
        </w:tc>
        <w:tc>
          <w:tcPr>
            <w:tcW w:w="0" w:type="dxa"/>
            <w:vAlign w:val="bottom"/>
          </w:tcPr>
          <w:p>
            <w:pPr>
              <w:spacing w:after="0"/>
              <w:rPr>
                <w:sz w:val="1"/>
                <w:szCs w:val="1"/>
                <w:color w:val="auto"/>
              </w:rPr>
            </w:pPr>
          </w:p>
        </w:tc>
      </w:tr>
      <w:tr>
        <w:trPr>
          <w:trHeight w:val="108"/>
        </w:trPr>
        <w:tc>
          <w:tcPr>
            <w:tcW w:w="4500" w:type="dxa"/>
            <w:vAlign w:val="bottom"/>
            <w:tcBorders>
              <w:left w:val="single" w:sz="8" w:color="auto"/>
              <w:bottom w:val="single" w:sz="8" w:color="auto"/>
              <w:right w:val="single" w:sz="8" w:color="auto"/>
            </w:tcBorders>
          </w:tcPr>
          <w:p>
            <w:pPr>
              <w:spacing w:after="0"/>
              <w:rPr>
                <w:sz w:val="9"/>
                <w:szCs w:val="9"/>
                <w:color w:val="auto"/>
              </w:rPr>
            </w:pPr>
          </w:p>
        </w:tc>
        <w:tc>
          <w:tcPr>
            <w:tcW w:w="6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8"/>
              </w:rPr>
              <w:t>Mid-Year Review of Compensation Program and Market</w:t>
            </w:r>
          </w:p>
        </w:tc>
        <w:tc>
          <w:tcPr>
            <w:tcW w:w="6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Review Company performance and progress toward performance objectives</w:t>
            </w:r>
          </w:p>
        </w:tc>
        <w:tc>
          <w:tcPr>
            <w:tcW w:w="0" w:type="dxa"/>
            <w:vAlign w:val="bottom"/>
          </w:tcPr>
          <w:p>
            <w:pPr>
              <w:spacing w:after="0"/>
              <w:rPr>
                <w:sz w:val="1"/>
                <w:szCs w:val="1"/>
                <w:color w:val="auto"/>
              </w:rPr>
            </w:pPr>
          </w:p>
        </w:tc>
      </w:tr>
      <w:tr>
        <w:trPr>
          <w:trHeight w:val="149"/>
        </w:trPr>
        <w:tc>
          <w:tcPr>
            <w:tcW w:w="4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Trends</w:t>
            </w:r>
          </w:p>
        </w:tc>
        <w:tc>
          <w:tcPr>
            <w:tcW w:w="6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500" w:type="dxa"/>
            <w:vAlign w:val="bottom"/>
            <w:tcBorders>
              <w:left w:val="single" w:sz="8" w:color="auto"/>
              <w:right w:val="single" w:sz="8" w:color="auto"/>
            </w:tcBorders>
            <w:vMerge w:val="continue"/>
          </w:tcPr>
          <w:p>
            <w:pPr>
              <w:spacing w:after="0"/>
              <w:rPr>
                <w:sz w:val="7"/>
                <w:szCs w:val="7"/>
                <w:color w:val="auto"/>
              </w:rPr>
            </w:pPr>
          </w:p>
        </w:tc>
        <w:tc>
          <w:tcPr>
            <w:tcW w:w="6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 Review compensation market data and trends as compiled by the independent consultant</w:t>
            </w:r>
          </w:p>
        </w:tc>
        <w:tc>
          <w:tcPr>
            <w:tcW w:w="0" w:type="dxa"/>
            <w:vAlign w:val="bottom"/>
          </w:tcPr>
          <w:p>
            <w:pPr>
              <w:spacing w:after="0"/>
              <w:rPr>
                <w:sz w:val="1"/>
                <w:szCs w:val="1"/>
                <w:color w:val="auto"/>
              </w:rPr>
            </w:pPr>
          </w:p>
        </w:tc>
      </w:tr>
      <w:tr>
        <w:trPr>
          <w:trHeight w:val="351"/>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Review the compensation philosophy and compensation components</w:t>
            </w:r>
          </w:p>
        </w:tc>
        <w:tc>
          <w:tcPr>
            <w:tcW w:w="0" w:type="dxa"/>
            <w:vAlign w:val="bottom"/>
          </w:tcPr>
          <w:p>
            <w:pPr>
              <w:spacing w:after="0"/>
              <w:rPr>
                <w:sz w:val="1"/>
                <w:szCs w:val="1"/>
                <w:color w:val="auto"/>
              </w:rPr>
            </w:pPr>
          </w:p>
        </w:tc>
      </w:tr>
      <w:tr>
        <w:trPr>
          <w:trHeight w:val="270"/>
        </w:trPr>
        <w:tc>
          <w:tcPr>
            <w:tcW w:w="4500" w:type="dxa"/>
            <w:vAlign w:val="bottom"/>
            <w:tcBorders>
              <w:left w:val="single" w:sz="8" w:color="auto"/>
              <w:right w:val="single" w:sz="8" w:color="auto"/>
            </w:tcBorders>
          </w:tcPr>
          <w:p>
            <w:pPr>
              <w:spacing w:after="0"/>
              <w:rPr>
                <w:sz w:val="23"/>
                <w:szCs w:val="23"/>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Consider the results of the say-on-pay vote and stockholder feedback</w:t>
            </w:r>
          </w:p>
        </w:tc>
        <w:tc>
          <w:tcPr>
            <w:tcW w:w="0" w:type="dxa"/>
            <w:vAlign w:val="bottom"/>
          </w:tcPr>
          <w:p>
            <w:pPr>
              <w:spacing w:after="0"/>
              <w:rPr>
                <w:sz w:val="1"/>
                <w:szCs w:val="1"/>
                <w:color w:val="auto"/>
              </w:rPr>
            </w:pP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6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Assessing Year-End Results</w:t>
            </w:r>
          </w:p>
        </w:tc>
        <w:tc>
          <w:tcPr>
            <w:tcW w:w="67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3"/>
              </w:rPr>
              <w:t>• Along with the Board, evaluate CEO performance and establish new goals for the coming</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02"/>
        </w:trPr>
        <w:tc>
          <w:tcPr>
            <w:tcW w:w="4500" w:type="dxa"/>
            <w:vAlign w:val="bottom"/>
            <w:tcBorders>
              <w:left w:val="single" w:sz="8" w:color="auto"/>
              <w:right w:val="single" w:sz="8" w:color="auto"/>
            </w:tcBorders>
          </w:tcPr>
          <w:p>
            <w:pPr>
              <w:spacing w:after="0"/>
              <w:rPr>
                <w:sz w:val="17"/>
                <w:szCs w:val="17"/>
                <w:color w:val="auto"/>
              </w:rPr>
            </w:pPr>
          </w:p>
        </w:tc>
        <w:tc>
          <w:tcPr>
            <w:tcW w:w="67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 Assess Company performance against approved objectives and determine annual incentive</w:t>
            </w:r>
          </w:p>
        </w:tc>
        <w:tc>
          <w:tcPr>
            <w:tcW w:w="0" w:type="dxa"/>
            <w:vAlign w:val="bottom"/>
          </w:tcPr>
          <w:p>
            <w:pPr>
              <w:spacing w:after="0"/>
              <w:rPr>
                <w:sz w:val="1"/>
                <w:szCs w:val="1"/>
                <w:color w:val="auto"/>
              </w:rPr>
            </w:pPr>
          </w:p>
        </w:tc>
      </w:tr>
      <w:tr>
        <w:trPr>
          <w:trHeight w:val="237"/>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6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payouts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As a part of this ongoing review, the Compensation Committee reviews and considers the annual share usage, total compensation tally sheets for each executive, applicable regulatory and legal issues, the policies of proxy advisors, and Company performance, among other things.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117"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The Compensation Committee reviewed market compensation data from the McLagan 2017 Investment Management Survey–U.S., a widely-used source for compensation information within public and private investment firms (the "McLagan Survey") and a custom-designed peer group of publicly-traded asset management companies (collectively, the "Custom Peer Group").</w:t>
      </w:r>
    </w:p>
    <w:p>
      <w:pPr>
        <w:spacing w:after="0" w:line="76"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The McLagan Survey provides detailed analyses of compensation in greater depth for investment management employees than those available from our public peers and specifically focuses on the asset management industry. The McLagan Survey provides market compensation data for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320" w:top="999" w:right="319" w:bottom="1440" w:gutter="0" w:footer="0" w:header="0"/>
        </w:sectPr>
      </w:pPr>
    </w:p>
    <w:bookmarkStart w:id="26" w:name="page27"/>
    <w:bookmarkEnd w:id="26"/>
    <w:p>
      <w:pPr>
        <w:ind w:right="180"/>
        <w:spacing w:after="0" w:line="277" w:lineRule="auto"/>
        <w:rPr>
          <w:sz w:val="20"/>
          <w:szCs w:val="20"/>
          <w:color w:val="auto"/>
        </w:rPr>
      </w:pPr>
      <w:r>
        <w:rPr>
          <w:rFonts w:ascii="Arial" w:cs="Arial" w:eastAsia="Arial" w:hAnsi="Arial"/>
          <w:sz w:val="18"/>
          <w:szCs w:val="18"/>
          <w:color w:val="auto"/>
        </w:rPr>
        <w:t>management and job function. Confidentiality obligations to McLagan Partners and its survey participants prevent the disclosure of the firms included in the survey.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2020, the companies comprising our Custom Peer Group were:</w:t>
      </w:r>
    </w:p>
    <w:p>
      <w:pPr>
        <w:spacing w:after="0" w:line="158" w:lineRule="exact"/>
        <w:rPr>
          <w:sz w:val="20"/>
          <w:szCs w:val="20"/>
          <w:color w:val="auto"/>
        </w:rPr>
      </w:pPr>
    </w:p>
    <w:tbl>
      <w:tblPr>
        <w:tblLayout w:type="fixed"/>
        <w:tblInd w:w="1060" w:type="dxa"/>
        <w:tblCellMar>
          <w:top w:w="0" w:type="dxa"/>
          <w:left w:w="0" w:type="dxa"/>
          <w:bottom w:w="0" w:type="dxa"/>
          <w:right w:w="0" w:type="dxa"/>
        </w:tblCellMar>
      </w:tblPr>
      <w:tr>
        <w:trPr>
          <w:trHeight w:val="229"/>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Artisan Partners Asset Management</w:t>
            </w:r>
          </w:p>
        </w:tc>
        <w:tc>
          <w:tcPr>
            <w:tcW w:w="1340" w:type="dxa"/>
            <w:vAlign w:val="bottom"/>
          </w:tcPr>
          <w:p>
            <w:pPr>
              <w:ind w:left="1180"/>
              <w:spacing w:after="0"/>
              <w:rPr>
                <w:sz w:val="20"/>
                <w:szCs w:val="20"/>
                <w:color w:val="auto"/>
              </w:rPr>
            </w:pPr>
            <w:r>
              <w:rPr>
                <w:rFonts w:ascii="Arial" w:cs="Arial" w:eastAsia="Arial" w:hAnsi="Arial"/>
                <w:sz w:val="18"/>
                <w:szCs w:val="18"/>
                <w:color w:val="auto"/>
              </w:rPr>
              <w:t>•</w:t>
            </w:r>
          </w:p>
        </w:tc>
        <w:tc>
          <w:tcPr>
            <w:tcW w:w="3140" w:type="dxa"/>
            <w:vAlign w:val="bottom"/>
          </w:tcPr>
          <w:p>
            <w:pPr>
              <w:ind w:left="80"/>
              <w:spacing w:after="0"/>
              <w:rPr>
                <w:sz w:val="20"/>
                <w:szCs w:val="20"/>
                <w:color w:val="auto"/>
              </w:rPr>
            </w:pPr>
            <w:r>
              <w:rPr>
                <w:rFonts w:ascii="Arial" w:cs="Arial" w:eastAsia="Arial" w:hAnsi="Arial"/>
                <w:sz w:val="18"/>
                <w:szCs w:val="18"/>
                <w:color w:val="auto"/>
              </w:rPr>
              <w:t>Manning &amp; Napier</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BrightSphere Investment Group</w:t>
            </w:r>
          </w:p>
        </w:tc>
        <w:tc>
          <w:tcPr>
            <w:tcW w:w="4480" w:type="dxa"/>
            <w:vAlign w:val="bottom"/>
            <w:gridSpan w:val="2"/>
          </w:tcPr>
          <w:p>
            <w:pPr>
              <w:ind w:left="1180"/>
              <w:spacing w:after="0"/>
              <w:rPr>
                <w:sz w:val="20"/>
                <w:szCs w:val="20"/>
                <w:color w:val="auto"/>
              </w:rPr>
            </w:pPr>
            <w:r>
              <w:rPr>
                <w:rFonts w:ascii="Arial" w:cs="Arial" w:eastAsia="Arial" w:hAnsi="Arial"/>
                <w:sz w:val="18"/>
                <w:szCs w:val="18"/>
                <w:color w:val="auto"/>
              </w:rPr>
              <w:t>•  Pzena Investment Management, Inc.</w:t>
            </w: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  Diamond Hill Investment Group, Inc.</w:t>
            </w:r>
          </w:p>
        </w:tc>
        <w:tc>
          <w:tcPr>
            <w:tcW w:w="4480" w:type="dxa"/>
            <w:vAlign w:val="bottom"/>
            <w:gridSpan w:val="2"/>
          </w:tcPr>
          <w:p>
            <w:pPr>
              <w:ind w:left="1180"/>
              <w:spacing w:after="0"/>
              <w:rPr>
                <w:sz w:val="20"/>
                <w:szCs w:val="20"/>
                <w:color w:val="auto"/>
              </w:rPr>
            </w:pPr>
            <w:r>
              <w:rPr>
                <w:rFonts w:ascii="Arial" w:cs="Arial" w:eastAsia="Arial" w:hAnsi="Arial"/>
                <w:sz w:val="18"/>
                <w:szCs w:val="18"/>
                <w:color w:val="auto"/>
                <w:w w:val="92"/>
              </w:rPr>
              <w:t>•  Silvercrest Asset Management Group, Inc.</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GAMCO Investors, Inc.</w:t>
            </w:r>
          </w:p>
        </w:tc>
        <w:tc>
          <w:tcPr>
            <w:tcW w:w="1340" w:type="dxa"/>
            <w:vAlign w:val="bottom"/>
          </w:tcPr>
          <w:p>
            <w:pPr>
              <w:ind w:left="1180"/>
              <w:spacing w:after="0"/>
              <w:rPr>
                <w:sz w:val="20"/>
                <w:szCs w:val="20"/>
                <w:color w:val="auto"/>
              </w:rPr>
            </w:pPr>
            <w:r>
              <w:rPr>
                <w:rFonts w:ascii="Arial" w:cs="Arial" w:eastAsia="Arial" w:hAnsi="Arial"/>
                <w:sz w:val="18"/>
                <w:szCs w:val="18"/>
                <w:color w:val="auto"/>
              </w:rPr>
              <w:t>•</w:t>
            </w:r>
          </w:p>
        </w:tc>
        <w:tc>
          <w:tcPr>
            <w:tcW w:w="3140" w:type="dxa"/>
            <w:vAlign w:val="bottom"/>
          </w:tcPr>
          <w:p>
            <w:pPr>
              <w:ind w:left="80"/>
              <w:spacing w:after="0"/>
              <w:rPr>
                <w:sz w:val="20"/>
                <w:szCs w:val="20"/>
                <w:color w:val="auto"/>
              </w:rPr>
            </w:pPr>
            <w:r>
              <w:rPr>
                <w:rFonts w:ascii="Arial" w:cs="Arial" w:eastAsia="Arial" w:hAnsi="Arial"/>
                <w:sz w:val="18"/>
                <w:szCs w:val="18"/>
                <w:color w:val="auto"/>
              </w:rPr>
              <w:t>Victory Capital Holdings</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Hennessy Advisors, Inc.</w:t>
            </w:r>
          </w:p>
        </w:tc>
        <w:tc>
          <w:tcPr>
            <w:tcW w:w="4480" w:type="dxa"/>
            <w:vAlign w:val="bottom"/>
            <w:gridSpan w:val="2"/>
          </w:tcPr>
          <w:p>
            <w:pPr>
              <w:ind w:left="1180"/>
              <w:spacing w:after="0"/>
              <w:rPr>
                <w:sz w:val="20"/>
                <w:szCs w:val="20"/>
                <w:color w:val="auto"/>
              </w:rPr>
            </w:pPr>
            <w:r>
              <w:rPr>
                <w:rFonts w:ascii="Arial" w:cs="Arial" w:eastAsia="Arial" w:hAnsi="Arial"/>
                <w:sz w:val="18"/>
                <w:szCs w:val="18"/>
                <w:color w:val="auto"/>
              </w:rPr>
              <w:t>•  Virtus Investment Partners, Inc.</w:t>
            </w:r>
          </w:p>
        </w:tc>
      </w:tr>
    </w:tbl>
    <w:p>
      <w:pPr>
        <w:spacing w:after="0" w:line="94"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peer companies were selected by us primarily based upon their (i) industry (asset management or financial advisory services), (ii) equity market capitalization and (iii) assets under management, using publicly available information from 2018 to 2020. The Compensation Committee believes the relative size, nature and operations and assets under management provide meaningful compensation and performance information.</w:t>
      </w:r>
    </w:p>
    <w:p>
      <w:pPr>
        <w:spacing w:after="0" w:line="5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have few direct peers that are public and similar in size and complexity to Westwood. Most companies that comprise the Custom Peer Group are somewhat larger than Westwood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considers the market compensation data derived from the McLagan Survey and the Custom Peer Group to be relevant, with neither source of information being the determinative factor in setting executive compensation levels. The Compensation Committee refers to both sources of information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Executive Compensation Decisions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2020, in response to the significant challenges confronting our business, our CEO led a re-engineering of our strategy in response to market conditions. Benefiting from significant leadership changes in our Distribution and Investment groups, we focused on the four key drivers of success: Investment Performance, Sales and Service, Financial Results and Strategic Goals. Performance targets in each area were established, reflecting our efforts to attract new investors, reverse Institutional outflows, drive operational efficiencies and innovate through strategic initiatives in technology, product innovation, and expansion of services. When the pandemic hit in full force in March 2020, the Board modified these targets to recognize the reality of the new virtual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003" w:right="37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Primary targets for these four areas include:</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Category</w:t>
            </w:r>
          </w:p>
        </w:tc>
        <w:tc>
          <w:tcPr>
            <w:tcW w:w="8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Metric</w:t>
            </w:r>
          </w:p>
        </w:tc>
      </w:tr>
      <w:tr>
        <w:trPr>
          <w:trHeight w:val="222"/>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Investment Performance</w:t>
            </w: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exceeding benchmark</w:t>
            </w:r>
          </w:p>
        </w:tc>
      </w:tr>
      <w:tr>
        <w:trPr>
          <w:trHeight w:val="230"/>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exceeding relative performance of eVestment peer group</w:t>
            </w:r>
          </w:p>
        </w:tc>
      </w:tr>
      <w:tr>
        <w:trPr>
          <w:trHeight w:val="230"/>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8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Morningstar ratings</w:t>
            </w:r>
          </w:p>
        </w:tc>
      </w:tr>
      <w:tr>
        <w:trPr>
          <w:trHeight w:val="222"/>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and Sales</w:t>
            </w: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Institutional client retention</w:t>
            </w:r>
          </w:p>
        </w:tc>
      </w:tr>
      <w:tr>
        <w:trPr>
          <w:trHeight w:val="229"/>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Wealth Management client retention</w:t>
            </w:r>
          </w:p>
        </w:tc>
      </w:tr>
      <w:tr>
        <w:trPr>
          <w:trHeight w:val="230"/>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8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Achievement of sales targets</w:t>
            </w:r>
          </w:p>
        </w:tc>
      </w:tr>
      <w:tr>
        <w:trPr>
          <w:trHeight w:val="222"/>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Financial Results</w:t>
            </w: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Earnings before taxes</w:t>
            </w:r>
          </w:p>
        </w:tc>
      </w:tr>
      <w:tr>
        <w:trPr>
          <w:trHeight w:val="229"/>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Total shareholder return relative to peers</w:t>
            </w:r>
          </w:p>
        </w:tc>
      </w:tr>
      <w:tr>
        <w:trPr>
          <w:trHeight w:val="230"/>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8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Dividend growth</w:t>
            </w:r>
          </w:p>
        </w:tc>
      </w:tr>
      <w:tr>
        <w:trPr>
          <w:trHeight w:val="222"/>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Strategic Goals</w:t>
            </w: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 InvestCloud projects successfully and within time and budget metrics</w:t>
            </w:r>
          </w:p>
        </w:tc>
      </w:tr>
      <w:tr>
        <w:trPr>
          <w:trHeight w:val="230"/>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a high level of cybersecurity</w:t>
            </w:r>
          </w:p>
        </w:tc>
      </w:tr>
      <w:tr>
        <w:trPr>
          <w:trHeight w:val="229"/>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Attract, retain and motivate top-level talent</w:t>
            </w:r>
          </w:p>
        </w:tc>
      </w:tr>
      <w:tr>
        <w:trPr>
          <w:trHeight w:val="229"/>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Retain existing sub-advisory client base</w:t>
            </w:r>
          </w:p>
        </w:tc>
      </w:tr>
      <w:tr>
        <w:trPr>
          <w:trHeight w:val="230"/>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Risk oversight for investment and corporate strategies, focusing on risks, opportunities and misses</w:t>
            </w:r>
          </w:p>
        </w:tc>
      </w:tr>
      <w:tr>
        <w:trPr>
          <w:trHeight w:val="229"/>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an ESG rating of BB or better and seek ways to improve ratings</w:t>
            </w:r>
          </w:p>
        </w:tc>
      </w:tr>
      <w:tr>
        <w:trPr>
          <w:trHeight w:val="230"/>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8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Expansion of services to clients through Westwood Private Bank</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for the CEO</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 2019 and 2020, Mr. Casey's compensation package did not include any short- or long-term incentive awards given the challenging business conditions faced by the Company. Accordingly, he did not receive an annual cash incentive award or restricted stock award for either of these years, which resulted in significant decreases in his overall compensation. Elimination of these elements of his compensation package for both years was mutually agreed between the Board and Mr. Casey.</w:t>
      </w:r>
    </w:p>
    <w:p>
      <w:pPr>
        <w:spacing w:after="0" w:line="79"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While Mr. Casey did not receive any performance-based compensation for fiscal 2020, he remains the beneficial owner of approximately 368,000 shares, or 4.4% of the outstanding common stock. Therefore, his goals are still strongly aligned with our shareholders and he has significant incentive to deliver strong operational and financial results for the Company.</w:t>
      </w:r>
    </w:p>
    <w:p>
      <w:pPr>
        <w:spacing w:after="0" w:line="7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Mr. Casey's compensation, as reported in the 2020 Summary Compensation Table reflects the accounting value of long-term equity awards at grant dates and not amounts actually realized from these awards. In that a significant portion of Mr. Casey's compensation reported in prior years represented potential pay, it may be useful to supplement the information provided in the 2020 Summary Compensation Table by reporting the amounts he actually realized during the year. The table below compares our income before income taxes to Mr. Casey's "realized pay" for each of the last five years, illustrating the strong correlation between our financial performance and compensation he actually received. Realized pay is defined as compensation received in the fiscal year including any cash short-term incentive payouts and vesting of time-based and performance-based restricted stock awards granted in 2018 and prior years.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1003"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1193800</wp:posOffset>
            </wp:positionH>
            <wp:positionV relativeFrom="page">
              <wp:posOffset>688975</wp:posOffset>
            </wp:positionV>
            <wp:extent cx="5417820" cy="4131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1782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Base salary is the fixed component of the named executive officers’ annual cash compensation. The Company provides its named executive officers with a base salary to compensate them for services rendered during the year and in recognition of their expertise, knowledge and experience.</w:t>
      </w:r>
    </w:p>
    <w:p>
      <w:pPr>
        <w:spacing w:after="0" w:line="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Salary levels are typically addressed annually as part of our performance review process, as well as upon promotions, changes in job responsibilities, or in connection with the terms of initial employment.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 salaries of the named executive officers as of the beginning and end of 2020, including any adjustments made during the year,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Base Salary</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Base Salary</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360" w:type="dxa"/>
            <w:vAlign w:val="bottom"/>
            <w:gridSpan w:val="2"/>
            <w:vMerge w:val="restart"/>
          </w:tcPr>
          <w:p>
            <w:pPr>
              <w:ind w:left="2820"/>
              <w:spacing w:after="0"/>
              <w:rPr>
                <w:sz w:val="20"/>
                <w:szCs w:val="20"/>
                <w:color w:val="auto"/>
              </w:rPr>
            </w:pPr>
            <w:r>
              <w:rPr>
                <w:rFonts w:ascii="Arial" w:cs="Arial" w:eastAsia="Arial" w:hAnsi="Arial"/>
                <w:sz w:val="14"/>
                <w:szCs w:val="14"/>
                <w:b w:val="1"/>
                <w:bCs w:val="1"/>
                <w:color w:val="auto"/>
              </w:rPr>
              <w:t>Named Executive Officers</w:t>
            </w: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as of</w:t>
            </w: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1/1/20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12/31/20</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2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Brian O. Casey,</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&amp; Chief Executive Officer</w:t>
            </w: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Terry Forbes,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&amp; Treasurer</w:t>
            </w:r>
          </w:p>
        </w:tc>
        <w:tc>
          <w:tcPr>
            <w:tcW w:w="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Fabian Gomez,</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&amp; Chief Operating Officer</w:t>
            </w: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Julie K. Gerron,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Senior Vice President, General Counsel, Chief Compliance Officer &amp; Corporate Secretary</w:t>
            </w:r>
          </w:p>
        </w:tc>
        <w:tc>
          <w:tcPr>
            <w:tcW w:w="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Steven Paddon,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Head of Institutional Sales</w:t>
            </w: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7260" w:type="dxa"/>
            <w:vAlign w:val="bottom"/>
          </w:tcPr>
          <w:p>
            <w:pPr>
              <w:ind w:left="55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440" w:right="37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i w:val="1"/>
          <w:iCs w:val="1"/>
          <w:color w:val="auto"/>
        </w:rPr>
        <w:t>Annual Cash Incentive Awards</w:t>
      </w:r>
    </w:p>
    <w:p>
      <w:pPr>
        <w:spacing w:after="0" w:line="1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Compensation Committee approves annual cash incentive awards for each of the named executive officers. These awards are intended to focus the named executive officers on achieving short-term business objectives and strategies and to enable them to participate in our growth and profitability.</w:t>
      </w:r>
    </w:p>
    <w:p>
      <w:pPr>
        <w:spacing w:after="0" w:line="16"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color w:val="auto"/>
        </w:rPr>
        <w:t>The Compensation Committee reviews the bonus pool for executive officers annually to ensure that, in its subjective judgment, its levels reflect industry practices, it will adequately fund potential bonuses and provide sufficient capacity to reward extraordinary performance. The amount and calculation of the bonus pool are subject to change at the discretion of the Compensation Committee.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2021 annual incentive payouts were payable from the 2020 bonus pool:</w:t>
      </w:r>
    </w:p>
    <w:p>
      <w:pPr>
        <w:sectPr>
          <w:pgSz w:w="11900" w:h="16838" w:orient="portrait"/>
          <w:cols w:equalWidth="0" w:num="1">
            <w:col w:w="11180"/>
          </w:cols>
          <w:pgMar w:left="320" w:top="1246" w:right="399" w:bottom="1440" w:gutter="0" w:footer="0" w:header="0"/>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2020 Annual</w:t>
            </w:r>
          </w:p>
        </w:tc>
        <w:tc>
          <w:tcPr>
            <w:tcW w:w="0" w:type="dxa"/>
            <w:vAlign w:val="bottom"/>
          </w:tcPr>
          <w:p>
            <w:pPr>
              <w:spacing w:after="0"/>
              <w:rPr>
                <w:sz w:val="1"/>
                <w:szCs w:val="1"/>
                <w:color w:val="auto"/>
              </w:rPr>
            </w:pPr>
          </w:p>
        </w:tc>
      </w:tr>
      <w:tr>
        <w:trPr>
          <w:trHeight w:val="188"/>
        </w:trPr>
        <w:tc>
          <w:tcPr>
            <w:tcW w:w="1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Incentive Payout</w:t>
            </w:r>
          </w:p>
        </w:tc>
        <w:tc>
          <w:tcPr>
            <w:tcW w:w="0" w:type="dxa"/>
            <w:vAlign w:val="bottom"/>
          </w:tcPr>
          <w:p>
            <w:pPr>
              <w:spacing w:after="0"/>
              <w:rPr>
                <w:sz w:val="1"/>
                <w:szCs w:val="1"/>
                <w:color w:val="auto"/>
              </w:rPr>
            </w:pPr>
          </w:p>
        </w:tc>
      </w:tr>
      <w:tr>
        <w:trPr>
          <w:trHeight w:val="225"/>
        </w:trPr>
        <w:tc>
          <w:tcPr>
            <w:tcW w:w="1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Terry Forbes</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1740" w:val="left"/>
          <w:tab w:leader="none" w:pos="2360" w:val="left"/>
        </w:tabs>
        <w:rPr>
          <w:sz w:val="20"/>
          <w:szCs w:val="20"/>
          <w:color w:val="auto"/>
        </w:rPr>
      </w:pPr>
      <w:r>
        <w:rPr>
          <w:rFonts w:ascii="Arial" w:cs="Arial" w:eastAsia="Arial" w:hAnsi="Arial"/>
          <w:sz w:val="18"/>
          <w:szCs w:val="18"/>
          <w:color w:val="auto"/>
        </w:rPr>
        <w:t>Fabian Gomez</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1740" w:val="left"/>
          <w:tab w:leader="none" w:pos="2360" w:val="left"/>
        </w:tabs>
        <w:rPr>
          <w:sz w:val="20"/>
          <w:szCs w:val="20"/>
          <w:color w:val="auto"/>
        </w:rPr>
      </w:pPr>
      <w:r>
        <w:rPr>
          <w:rFonts w:ascii="Arial" w:cs="Arial" w:eastAsia="Arial" w:hAnsi="Arial"/>
          <w:sz w:val="18"/>
          <w:szCs w:val="18"/>
          <w:color w:val="auto"/>
        </w:rPr>
        <w:t>Julie K. Gerron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740" w:val="left"/>
          <w:tab w:leader="none" w:pos="2360" w:val="left"/>
        </w:tabs>
        <w:rPr>
          <w:sz w:val="20"/>
          <w:szCs w:val="20"/>
          <w:color w:val="auto"/>
        </w:rPr>
      </w:pPr>
      <w:r>
        <w:rPr>
          <w:rFonts w:ascii="Arial" w:cs="Arial" w:eastAsia="Arial" w:hAnsi="Arial"/>
          <w:sz w:val="18"/>
          <w:szCs w:val="18"/>
          <w:color w:val="auto"/>
        </w:rPr>
        <w:t>Steven Paddon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238,000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1"/>
        <w:spacing w:after="0"/>
        <w:rPr>
          <w:sz w:val="20"/>
          <w:szCs w:val="20"/>
          <w:color w:val="auto"/>
        </w:rPr>
      </w:pPr>
      <w:r>
        <w:rPr>
          <w:rFonts w:ascii="Arial" w:cs="Arial" w:eastAsia="Arial" w:hAnsi="Arial"/>
          <w:sz w:val="14"/>
          <w:szCs w:val="14"/>
          <w:b w:val="1"/>
          <w:bCs w:val="1"/>
          <w:color w:val="auto"/>
        </w:rPr>
        <w:t>Determining Factors</w:t>
      </w:r>
    </w:p>
    <w:p>
      <w:pPr>
        <w:spacing w:after="0" w:line="36" w:lineRule="exact"/>
        <w:rPr>
          <w:sz w:val="20"/>
          <w:szCs w:val="20"/>
          <w:color w:val="auto"/>
        </w:rPr>
      </w:pPr>
    </w:p>
    <w:p>
      <w:pPr>
        <w:ind w:left="302" w:hanging="302"/>
        <w:spacing w:after="0"/>
        <w:tabs>
          <w:tab w:leader="none" w:pos="302" w:val="left"/>
        </w:tabs>
        <w:numPr>
          <w:ilvl w:val="0"/>
          <w:numId w:val="55"/>
        </w:numPr>
        <w:rPr>
          <w:rFonts w:ascii="Arial" w:cs="Arial" w:eastAsia="Arial" w:hAnsi="Arial"/>
          <w:sz w:val="12"/>
          <w:szCs w:val="12"/>
          <w:color w:val="auto"/>
        </w:rPr>
      </w:pPr>
      <w:r>
        <w:rPr>
          <w:rFonts w:ascii="Arial" w:cs="Arial" w:eastAsia="Arial" w:hAnsi="Arial"/>
          <w:sz w:val="17"/>
          <w:szCs w:val="17"/>
          <w:color w:val="auto"/>
        </w:rPr>
        <w:t>Contributions to our strategic initiatives, including corporate development, financial and tax planning;</w:t>
      </w:r>
    </w:p>
    <w:p>
      <w:pPr>
        <w:spacing w:after="0" w:line="223" w:lineRule="exact"/>
        <w:rPr>
          <w:rFonts w:ascii="Arial" w:cs="Arial" w:eastAsia="Arial" w:hAnsi="Arial"/>
          <w:sz w:val="12"/>
          <w:szCs w:val="12"/>
          <w:color w:val="auto"/>
        </w:rPr>
      </w:pPr>
    </w:p>
    <w:p>
      <w:pPr>
        <w:ind w:left="302" w:hanging="302"/>
        <w:spacing w:after="0" w:line="227" w:lineRule="auto"/>
        <w:tabs>
          <w:tab w:leader="none" w:pos="302" w:val="left"/>
        </w:tabs>
        <w:numPr>
          <w:ilvl w:val="0"/>
          <w:numId w:val="55"/>
        </w:numPr>
        <w:rPr>
          <w:rFonts w:ascii="Arial" w:cs="Arial" w:eastAsia="Arial" w:hAnsi="Arial"/>
          <w:sz w:val="13"/>
          <w:szCs w:val="13"/>
          <w:color w:val="auto"/>
        </w:rPr>
      </w:pPr>
      <w:r>
        <w:rPr>
          <w:rFonts w:ascii="Arial" w:cs="Arial" w:eastAsia="Arial" w:hAnsi="Arial"/>
          <w:sz w:val="18"/>
          <w:szCs w:val="18"/>
          <w:color w:val="auto"/>
        </w:rPr>
        <w:t>Participation in our Information Technology Steering Committee, Enterprise Risk Management Committee and Disclosure Committee; and</w:t>
      </w:r>
    </w:p>
    <w:p>
      <w:pPr>
        <w:spacing w:after="0" w:line="26" w:lineRule="exact"/>
        <w:rPr>
          <w:rFonts w:ascii="Arial" w:cs="Arial" w:eastAsia="Arial" w:hAnsi="Arial"/>
          <w:sz w:val="13"/>
          <w:szCs w:val="13"/>
          <w:color w:val="auto"/>
        </w:rPr>
      </w:pPr>
    </w:p>
    <w:p>
      <w:pPr>
        <w:ind w:left="302" w:right="600" w:hanging="302"/>
        <w:spacing w:after="0" w:line="227" w:lineRule="auto"/>
        <w:tabs>
          <w:tab w:leader="none" w:pos="302" w:val="left"/>
        </w:tabs>
        <w:numPr>
          <w:ilvl w:val="0"/>
          <w:numId w:val="55"/>
        </w:numPr>
        <w:rPr>
          <w:rFonts w:ascii="Arial" w:cs="Arial" w:eastAsia="Arial" w:hAnsi="Arial"/>
          <w:sz w:val="13"/>
          <w:szCs w:val="13"/>
          <w:color w:val="auto"/>
        </w:rPr>
      </w:pPr>
      <w:r>
        <w:rPr>
          <w:rFonts w:ascii="Arial" w:cs="Arial" w:eastAsia="Arial" w:hAnsi="Arial"/>
          <w:sz w:val="18"/>
          <w:szCs w:val="18"/>
          <w:color w:val="auto"/>
        </w:rPr>
        <w:t>Firm-wide oversight and enhancements of our financial reporting process and internal control over financial reporting.</w:t>
      </w:r>
    </w:p>
    <w:p>
      <w:pPr>
        <w:ind w:left="302" w:right="660" w:hanging="302"/>
        <w:spacing w:after="0" w:line="196" w:lineRule="auto"/>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Contributions to our strategic initiatives, including strategic planning, information technology and investment operations;</w:t>
      </w:r>
    </w:p>
    <w:p>
      <w:pPr>
        <w:spacing w:after="0" w:line="27" w:lineRule="exact"/>
        <w:rPr>
          <w:rFonts w:ascii="Arial" w:cs="Arial" w:eastAsia="Arial" w:hAnsi="Arial"/>
          <w:sz w:val="25"/>
          <w:szCs w:val="25"/>
          <w:color w:val="auto"/>
          <w:vertAlign w:val="superscript"/>
        </w:rPr>
      </w:pPr>
    </w:p>
    <w:p>
      <w:pPr>
        <w:ind w:left="302" w:right="740" w:hanging="302"/>
        <w:spacing w:after="0" w:line="196" w:lineRule="auto"/>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Participation in the Company's Information Technology Steering Committee and Enterprise Risk Management Committee;</w:t>
      </w:r>
    </w:p>
    <w:p>
      <w:pPr>
        <w:spacing w:after="0" w:line="14" w:lineRule="exact"/>
        <w:rPr>
          <w:rFonts w:ascii="Arial" w:cs="Arial" w:eastAsia="Arial" w:hAnsi="Arial"/>
          <w:sz w:val="25"/>
          <w:szCs w:val="25"/>
          <w:color w:val="auto"/>
          <w:vertAlign w:val="superscript"/>
        </w:rPr>
      </w:pPr>
    </w:p>
    <w:p>
      <w:pPr>
        <w:ind w:left="302" w:hanging="302"/>
        <w:spacing w:after="0"/>
        <w:tabs>
          <w:tab w:leader="none" w:pos="302" w:val="left"/>
        </w:tabs>
        <w:numPr>
          <w:ilvl w:val="0"/>
          <w:numId w:val="55"/>
        </w:numPr>
        <w:rPr>
          <w:rFonts w:ascii="Arial" w:cs="Arial" w:eastAsia="Arial" w:hAnsi="Arial"/>
          <w:sz w:val="13"/>
          <w:szCs w:val="13"/>
          <w:color w:val="auto"/>
        </w:rPr>
      </w:pPr>
      <w:r>
        <w:rPr>
          <w:rFonts w:ascii="Arial" w:cs="Arial" w:eastAsia="Arial" w:hAnsi="Arial"/>
          <w:sz w:val="18"/>
          <w:szCs w:val="18"/>
          <w:color w:val="auto"/>
        </w:rPr>
        <w:t>Implementation of cost savings efforts utilizing technology;</w:t>
      </w:r>
    </w:p>
    <w:p>
      <w:pPr>
        <w:spacing w:after="0" w:line="73" w:lineRule="exact"/>
        <w:rPr>
          <w:rFonts w:ascii="Arial" w:cs="Arial" w:eastAsia="Arial" w:hAnsi="Arial"/>
          <w:sz w:val="13"/>
          <w:szCs w:val="13"/>
          <w:color w:val="auto"/>
        </w:rPr>
      </w:pPr>
    </w:p>
    <w:p>
      <w:pPr>
        <w:ind w:left="302" w:hanging="302"/>
        <w:spacing w:after="0"/>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Implemented outsourcing of our trading function with significant cost savings; and</w:t>
      </w:r>
    </w:p>
    <w:p>
      <w:pPr>
        <w:spacing w:after="0" w:line="100" w:lineRule="exact"/>
        <w:rPr>
          <w:rFonts w:ascii="Arial" w:cs="Arial" w:eastAsia="Arial" w:hAnsi="Arial"/>
          <w:sz w:val="25"/>
          <w:szCs w:val="25"/>
          <w:color w:val="auto"/>
          <w:vertAlign w:val="superscript"/>
        </w:rPr>
      </w:pPr>
    </w:p>
    <w:p>
      <w:pPr>
        <w:ind w:left="302" w:hanging="302"/>
        <w:spacing w:after="0" w:line="186" w:lineRule="auto"/>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Management and oversight of our information technology and investment operations.</w:t>
      </w:r>
    </w:p>
    <w:p>
      <w:pPr>
        <w:spacing w:after="0" w:line="96" w:lineRule="exact"/>
        <w:rPr>
          <w:rFonts w:ascii="Arial" w:cs="Arial" w:eastAsia="Arial" w:hAnsi="Arial"/>
          <w:sz w:val="25"/>
          <w:szCs w:val="25"/>
          <w:color w:val="auto"/>
          <w:vertAlign w:val="superscript"/>
        </w:rPr>
      </w:pPr>
    </w:p>
    <w:p>
      <w:pPr>
        <w:ind w:left="302" w:hanging="302"/>
        <w:spacing w:after="0"/>
        <w:tabs>
          <w:tab w:leader="none" w:pos="302" w:val="left"/>
        </w:tabs>
        <w:numPr>
          <w:ilvl w:val="0"/>
          <w:numId w:val="55"/>
        </w:numPr>
        <w:rPr>
          <w:rFonts w:ascii="Arial" w:cs="Arial" w:eastAsia="Arial" w:hAnsi="Arial"/>
          <w:sz w:val="13"/>
          <w:szCs w:val="13"/>
          <w:color w:val="auto"/>
        </w:rPr>
      </w:pPr>
      <w:r>
        <w:rPr>
          <w:rFonts w:ascii="Arial" w:cs="Arial" w:eastAsia="Arial" w:hAnsi="Arial"/>
          <w:sz w:val="18"/>
          <w:szCs w:val="18"/>
          <w:color w:val="auto"/>
        </w:rPr>
        <w:t>Management and oversight of our compliance with legal and regulatory requirements;</w:t>
      </w:r>
    </w:p>
    <w:p>
      <w:pPr>
        <w:spacing w:after="0" w:line="128" w:lineRule="exact"/>
        <w:rPr>
          <w:rFonts w:ascii="Arial" w:cs="Arial" w:eastAsia="Arial" w:hAnsi="Arial"/>
          <w:sz w:val="13"/>
          <w:szCs w:val="13"/>
          <w:color w:val="auto"/>
        </w:rPr>
      </w:pPr>
    </w:p>
    <w:p>
      <w:pPr>
        <w:ind w:left="302" w:right="760" w:hanging="302"/>
        <w:spacing w:after="0" w:line="220" w:lineRule="auto"/>
        <w:tabs>
          <w:tab w:leader="none" w:pos="302"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Management and oversight of risk management issues, including review and negotiation of legal agreements and participation in internal risk management committees;</w:t>
      </w:r>
    </w:p>
    <w:p>
      <w:pPr>
        <w:spacing w:after="0" w:line="256" w:lineRule="exact"/>
        <w:rPr>
          <w:rFonts w:ascii="Arial" w:cs="Arial" w:eastAsia="Arial" w:hAnsi="Arial"/>
          <w:sz w:val="24"/>
          <w:szCs w:val="24"/>
          <w:color w:val="auto"/>
          <w:vertAlign w:val="superscript"/>
        </w:rPr>
      </w:pPr>
    </w:p>
    <w:p>
      <w:pPr>
        <w:ind w:left="302" w:right="400" w:hanging="302"/>
        <w:spacing w:after="0" w:line="210" w:lineRule="auto"/>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Contribution to our strategic initiatives, including legal advice and support for corporate and product-development projects;</w:t>
      </w:r>
    </w:p>
    <w:p>
      <w:pPr>
        <w:ind w:left="302" w:right="460" w:hanging="302"/>
        <w:spacing w:after="0" w:line="226" w:lineRule="auto"/>
        <w:tabs>
          <w:tab w:leader="none" w:pos="302" w:val="left"/>
        </w:tabs>
        <w:numPr>
          <w:ilvl w:val="0"/>
          <w:numId w:val="55"/>
        </w:numPr>
        <w:rPr>
          <w:rFonts w:ascii="Arial" w:cs="Arial" w:eastAsia="Arial" w:hAnsi="Arial"/>
          <w:sz w:val="13"/>
          <w:szCs w:val="13"/>
          <w:color w:val="auto"/>
        </w:rPr>
      </w:pPr>
      <w:r>
        <w:rPr>
          <w:rFonts w:ascii="Arial" w:cs="Arial" w:eastAsia="Arial" w:hAnsi="Arial"/>
          <w:sz w:val="18"/>
          <w:szCs w:val="18"/>
          <w:color w:val="auto"/>
        </w:rPr>
        <w:t>Oversight of external counsel to ensure timely resolution of legal issues (litigation, trademark issues, corporate governance, etc.); and</w:t>
      </w:r>
    </w:p>
    <w:p>
      <w:pPr>
        <w:spacing w:after="0" w:line="68" w:lineRule="exact"/>
        <w:rPr>
          <w:rFonts w:ascii="Arial" w:cs="Arial" w:eastAsia="Arial" w:hAnsi="Arial"/>
          <w:sz w:val="13"/>
          <w:szCs w:val="13"/>
          <w:color w:val="auto"/>
        </w:rPr>
      </w:pPr>
    </w:p>
    <w:p>
      <w:pPr>
        <w:ind w:left="302" w:right="660" w:hanging="302"/>
        <w:spacing w:after="0" w:line="210" w:lineRule="auto"/>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Effective representation of our legal and compliance program and processes to clients, investment consulting firms and other interested parties.</w:t>
      </w:r>
    </w:p>
    <w:p>
      <w:pPr>
        <w:ind w:left="302" w:hanging="302"/>
        <w:spacing w:after="0" w:line="202" w:lineRule="auto"/>
        <w:tabs>
          <w:tab w:leader="none" w:pos="302"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Contributions to our strategic initiatives, including sales and client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-1644650</wp:posOffset>
            </wp:positionV>
            <wp:extent cx="7132320" cy="1499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9987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-3590290</wp:posOffset>
            </wp:positionV>
            <wp:extent cx="7132320" cy="779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83" w:lineRule="exact"/>
        <w:rPr>
          <w:sz w:val="20"/>
          <w:szCs w:val="20"/>
          <w:color w:val="auto"/>
        </w:rPr>
      </w:pPr>
    </w:p>
    <w:p>
      <w:pPr>
        <w:ind w:left="2"/>
        <w:spacing w:after="0"/>
        <w:rPr>
          <w:sz w:val="20"/>
          <w:szCs w:val="20"/>
          <w:color w:val="auto"/>
        </w:rPr>
      </w:pPr>
      <w:r>
        <w:rPr>
          <w:rFonts w:ascii="Arial" w:cs="Arial" w:eastAsia="Arial" w:hAnsi="Arial"/>
          <w:sz w:val="13"/>
          <w:szCs w:val="13"/>
          <w:color w:val="auto"/>
        </w:rPr>
        <w:t>●</w:t>
      </w:r>
    </w:p>
    <w:p>
      <w:pPr>
        <w:spacing w:after="0" w:line="45" w:lineRule="exact"/>
        <w:rPr>
          <w:sz w:val="20"/>
          <w:szCs w:val="20"/>
          <w:color w:val="auto"/>
        </w:rPr>
      </w:pPr>
    </w:p>
    <w:p>
      <w:pPr>
        <w:ind w:left="302"/>
        <w:spacing w:after="0"/>
        <w:rPr>
          <w:sz w:val="20"/>
          <w:szCs w:val="20"/>
          <w:color w:val="auto"/>
        </w:rPr>
      </w:pPr>
      <w:r>
        <w:rPr>
          <w:rFonts w:ascii="Arial" w:cs="Arial" w:eastAsia="Arial" w:hAnsi="Arial"/>
          <w:sz w:val="17"/>
          <w:szCs w:val="17"/>
          <w:color w:val="auto"/>
        </w:rPr>
        <w:t>Alignment of the distribution marketing and infrastructure to support channel-specific sales strategies;</w:t>
      </w:r>
    </w:p>
    <w:p>
      <w:pPr>
        <w:spacing w:after="0" w:line="42" w:lineRule="exact"/>
        <w:rPr>
          <w:sz w:val="20"/>
          <w:szCs w:val="20"/>
          <w:color w:val="auto"/>
        </w:rPr>
      </w:pPr>
    </w:p>
    <w:p>
      <w:pPr>
        <w:ind w:left="2"/>
        <w:spacing w:after="0"/>
        <w:rPr>
          <w:sz w:val="20"/>
          <w:szCs w:val="20"/>
          <w:color w:val="auto"/>
        </w:rPr>
      </w:pPr>
      <w:r>
        <w:rPr>
          <w:rFonts w:ascii="Arial" w:cs="Arial" w:eastAsia="Arial" w:hAnsi="Arial"/>
          <w:sz w:val="13"/>
          <w:szCs w:val="13"/>
          <w:color w:val="auto"/>
        </w:rPr>
        <w:t>●</w:t>
      </w:r>
    </w:p>
    <w:p>
      <w:pPr>
        <w:spacing w:after="0" w:line="45"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Management and oversight of our institutional and intermediary sales teams and client service teams; and</w:t>
      </w:r>
    </w:p>
    <w:p>
      <w:pPr>
        <w:spacing w:after="0" w:line="73" w:lineRule="exact"/>
        <w:rPr>
          <w:sz w:val="20"/>
          <w:szCs w:val="20"/>
          <w:color w:val="auto"/>
        </w:rPr>
      </w:pPr>
    </w:p>
    <w:p>
      <w:pPr>
        <w:ind w:left="302" w:right="740" w:hanging="302"/>
        <w:spacing w:after="0" w:line="196" w:lineRule="auto"/>
        <w:tabs>
          <w:tab w:leader="none" w:pos="302"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Participation in the Company's Information Technology Steering Committee and Enterprise Risk Management Committee.</w:t>
      </w:r>
    </w:p>
    <w:p>
      <w:pPr>
        <w:spacing w:after="0" w:line="200" w:lineRule="exact"/>
        <w:rPr>
          <w:sz w:val="20"/>
          <w:szCs w:val="20"/>
          <w:color w:val="auto"/>
        </w:rPr>
      </w:pPr>
    </w:p>
    <w:p>
      <w:pPr>
        <w:sectPr>
          <w:pgSz w:w="11900" w:h="16838" w:orient="portrait"/>
          <w:cols w:equalWidth="0" w:num="2">
            <w:col w:w="3040" w:space="118"/>
            <w:col w:w="8022"/>
          </w:cols>
          <w:pgMar w:left="320" w:top="1246" w:right="399" w:bottom="1440" w:gutter="0" w:footer="0" w:header="0"/>
          <w:type w:val="continuous"/>
        </w:sectPr>
      </w:pPr>
    </w:p>
    <w:p>
      <w:pPr>
        <w:spacing w:after="0" w:line="24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Cash incentive awards earned in 2020 and paid in 2021 to Messrs. Forbes, Gomez and Paddon and Ms. Gerron are listed in column (d) in the "2020 Summary Compensation Table" that appears later.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Each year, the Compensation Committee grants long-term equity awards to our named executive officers under the Westwood Holdings Group, Inc. Stock Incentive Plan (the "Stock Incentive Plan"). These equity awards are intended to attract, retain and motivate our named executive officers as well as focus them on our long-term performance, however, the primary goal of these awards currently is to retain our named executive officers as the Company continues its upward trajectory.</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246" w:right="399" w:bottom="1440" w:gutter="0" w:footer="0" w:header="0"/>
          <w:type w:val="continuous"/>
        </w:sectPr>
      </w:pPr>
    </w:p>
    <w:bookmarkStart w:id="30" w:name="page31"/>
    <w:bookmarkEnd w:id="30"/>
    <w:p>
      <w:pPr>
        <w:ind w:right="20" w:firstLine="405"/>
        <w:spacing w:after="0" w:line="277" w:lineRule="auto"/>
        <w:rPr>
          <w:sz w:val="20"/>
          <w:szCs w:val="20"/>
          <w:color w:val="auto"/>
        </w:rPr>
      </w:pPr>
      <w:r>
        <w:rPr>
          <w:rFonts w:ascii="Arial" w:cs="Arial" w:eastAsia="Arial" w:hAnsi="Arial"/>
          <w:sz w:val="18"/>
          <w:szCs w:val="18"/>
          <w:color w:val="auto"/>
        </w:rPr>
        <w:t>The Compensation Committee determines long-term equity awards in order to provide motivation for short- and long-term performance and financial results. The Compensation Committee also performs periodic benchmarking against our peers.</w:t>
      </w:r>
    </w:p>
    <w:p>
      <w:pPr>
        <w:spacing w:after="0" w:line="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While the Stock Incentive Plan authorizes the grant of several types of equity awards, the Compensation Committee awarded only time-based stock awards to named executive officers in 2020.</w:t>
      </w:r>
    </w:p>
    <w:p>
      <w:pPr>
        <w:spacing w:after="0" w:line="62"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Unless the Compensation Committee determines otherwise, recipients of restricted stock awards will generally have the right to vote underlying restricted shares. Dividends on restricted stock awards are accrued and payable to the recipient only when underlying restricted shares vest. Any accrued dividends on forfeited shares are not paid. Restricted shares may not be sold, transferred, or pledged during the restricted period.</w:t>
      </w:r>
    </w:p>
    <w:p>
      <w:pPr>
        <w:spacing w:after="0" w:line="4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does not have a formal policy on timing equity compensation grants in connection with the release of material non-public information that may affect the value of compensation. In the event that material non-public information becomes known prior to granting equity awards, the Compensation Committee will consider such information in order to assess whether or not to delay the grant of the award to avoid any impropriety or appearance of impropriety.</w:t>
      </w:r>
    </w:p>
    <w:p>
      <w:pPr>
        <w:spacing w:after="0" w:line="7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their value is tied to the market value of our common stock. In 2020, the vesting schedule was adjusted so that time-based awards are generally subject to ratable vesting over four years based on the following schedule:</w:t>
      </w:r>
    </w:p>
    <w:p>
      <w:pPr>
        <w:spacing w:after="0" w:line="7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awards vest upon the first anniversary of the grant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awards vest upon the second anniversary of the grant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awards vest upon the third anniversary of the grant date;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awards vest upon the fourth anniversary of the grant date.</w:t>
      </w:r>
    </w:p>
    <w:p>
      <w:pPr>
        <w:spacing w:after="0" w:line="11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Restricted stock award sizes are determined as a component of total compensation for each executive, and are designed to retain and motivate our employees, and tie them to Company performance. In February 2020, the Compensation Committee evaluated the following criteria regarding time-based restricted stock grants:</w:t>
      </w:r>
    </w:p>
    <w:p>
      <w:pPr>
        <w:spacing w:after="0" w:line="76"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Overall company performance in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 and accomplishments of individuals in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Overall Company dilution and share utilization;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recent stock price performance;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magnitude of historical award grants.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Accordingly, the Compensation Committee awarded the following time-based restricted stock grants to our named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ind w:left="1660"/>
              <w:spacing w:after="0"/>
              <w:rPr>
                <w:sz w:val="20"/>
                <w:szCs w:val="20"/>
                <w:color w:val="auto"/>
              </w:rPr>
            </w:pPr>
            <w:r>
              <w:rPr>
                <w:rFonts w:ascii="Arial" w:cs="Arial" w:eastAsia="Arial" w:hAnsi="Arial"/>
                <w:sz w:val="14"/>
                <w:szCs w:val="14"/>
                <w:b w:val="1"/>
                <w:bCs w:val="1"/>
                <w:color w:val="auto"/>
              </w:rPr>
              <w:t>Name</w:t>
            </w:r>
          </w:p>
        </w:tc>
        <w:tc>
          <w:tcPr>
            <w:tcW w:w="3760" w:type="dxa"/>
            <w:vAlign w:val="bottom"/>
            <w:gridSpan w:val="2"/>
          </w:tcPr>
          <w:p>
            <w:pPr>
              <w:ind w:left="560"/>
              <w:spacing w:after="0"/>
              <w:rPr>
                <w:sz w:val="20"/>
                <w:szCs w:val="20"/>
                <w:color w:val="auto"/>
              </w:rPr>
            </w:pPr>
            <w:r>
              <w:rPr>
                <w:rFonts w:ascii="Arial" w:cs="Arial" w:eastAsia="Arial" w:hAnsi="Arial"/>
                <w:sz w:val="14"/>
                <w:szCs w:val="14"/>
                <w:b w:val="1"/>
                <w:bCs w:val="1"/>
                <w:color w:val="auto"/>
              </w:rPr>
              <w:t>Number of Restricted Shares Granted (#)</w:t>
            </w:r>
          </w:p>
        </w:tc>
        <w:tc>
          <w:tcPr>
            <w:tcW w:w="3680" w:type="dxa"/>
            <w:vAlign w:val="bottom"/>
          </w:tcPr>
          <w:p>
            <w:pPr>
              <w:jc w:val="right"/>
              <w:ind w:right="554"/>
              <w:spacing w:after="0"/>
              <w:rPr>
                <w:sz w:val="20"/>
                <w:szCs w:val="20"/>
                <w:color w:val="auto"/>
              </w:rPr>
            </w:pPr>
            <w:r>
              <w:rPr>
                <w:rFonts w:ascii="Arial" w:cs="Arial" w:eastAsia="Arial" w:hAnsi="Arial"/>
                <w:sz w:val="14"/>
                <w:szCs w:val="14"/>
                <w:b w:val="1"/>
                <w:bCs w:val="1"/>
                <w:color w:val="auto"/>
              </w:rPr>
              <w:t>Grant Date Fair Value of Shares ($) (1)</w:t>
            </w: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Terry Forbes</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135,002</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Fabian Gomez</w:t>
            </w:r>
          </w:p>
        </w:tc>
        <w:tc>
          <w:tcPr>
            <w:tcW w:w="3660" w:type="dxa"/>
            <w:vAlign w:val="bottom"/>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250,026</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Julie K. Gerron</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175,013</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Steve Paddon</w:t>
            </w:r>
          </w:p>
        </w:tc>
        <w:tc>
          <w:tcPr>
            <w:tcW w:w="3660" w:type="dxa"/>
            <w:vAlign w:val="bottom"/>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225,012</w:t>
            </w: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9"/>
          <w:szCs w:val="9"/>
          <w:color w:val="auto"/>
        </w:rPr>
        <w:t>___________________</w:t>
      </w:r>
    </w:p>
    <w:p>
      <w:pPr>
        <w:spacing w:after="0" w:line="101"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Amounts reflect the grant date fair value of time-vested restricted stock awards granted to Messrs. Forbes, Gomez and Paddon and Ms. Gerron in 2020, computed in accordance with ASC</w:t>
      </w:r>
    </w:p>
    <w:p>
      <w:pPr>
        <w:spacing w:after="0" w:line="24" w:lineRule="exact"/>
        <w:rPr>
          <w:rFonts w:ascii="Arial" w:cs="Arial" w:eastAsia="Arial" w:hAnsi="Arial"/>
          <w:sz w:val="13"/>
          <w:szCs w:val="13"/>
          <w:color w:val="auto"/>
        </w:rPr>
      </w:pPr>
    </w:p>
    <w:p>
      <w:pPr>
        <w:jc w:val="both"/>
        <w:ind w:left="660" w:right="60" w:hanging="4"/>
        <w:spacing w:after="0" w:line="248" w:lineRule="auto"/>
        <w:tabs>
          <w:tab w:leader="none" w:pos="948"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assumptions used in the valuation of the restricted stock awards are discussed in Note 7 "Employee Benefits" of our audited financial statements, included in our 2020 Form 10-K. The grant date fair value for these time-vested awards was based on $27.67 per share, which was the closing price of our common stock on the grant date of February 22, 2020, adjusted for the accrual of dividends on unvested shares.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Other Benefits and Perquisites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Employee Benefits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offer employee and post-retirement benefits to all full-time employees, including the named executive officers, in order to provide them with financial support in the event of injury, illness or disability and to help them accumulate retirement savings on a tax-favored basis. All employees are generally eligible to participate in benefit programs including medical, dental, vision, disability and life insurance. In addition, all employees are generally eligible to participate in applicable health savings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003" w:right="379" w:bottom="1440" w:gutter="0" w:footer="0" w:header="0"/>
        </w:sectPr>
      </w:pPr>
    </w:p>
    <w:bookmarkStart w:id="31" w:name="page32"/>
    <w:bookmarkEnd w:id="31"/>
    <w:p>
      <w:pPr>
        <w:ind w:right="220"/>
        <w:spacing w:after="0" w:line="277" w:lineRule="auto"/>
        <w:rPr>
          <w:sz w:val="20"/>
          <w:szCs w:val="20"/>
          <w:color w:val="auto"/>
        </w:rPr>
      </w:pPr>
      <w:r>
        <w:rPr>
          <w:rFonts w:ascii="Arial" w:cs="Arial" w:eastAsia="Arial" w:hAnsi="Arial"/>
          <w:sz w:val="18"/>
          <w:szCs w:val="18"/>
          <w:color w:val="auto"/>
        </w:rPr>
        <w:t>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Savings Plan and Matching Contributions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the Company’s U.S. Westwood Holdings Group, Inc. Savings Plan (the "U.S. Savings Plan"), all U.S.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matching portion.</w:t>
      </w:r>
    </w:p>
    <w:p>
      <w:pPr>
        <w:spacing w:after="0" w:line="79"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For 2020, the Company made 401(k) Company matching contributions and Company profit sharing contributions totaling $17,100 for each of Messrs. Casey, Forbes, Gomez and Paddon, and Ms. Gerron.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Profit Sharing Contributions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Company’s U.S. Savings Plan authorizes us to make discretionary annual contributions to U.S. employees’ Savings Plan accounts based on our profitability and performance. The profit sharing component of the Savings Plan is broad-based and all U.S. employees, including the named executive officers, are eligible for discretionary profit sharing contributions. Profit sharing contributions are subject to a four-year graded vesting schedule based on an employee's years of service.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2020, the Company did not make any profit sharing contributions.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provide significant perquisites to our named executive officers during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Board has established stock ownership guidelines for the CEO and certain other executives requiring the following minimum holdings:</w:t>
      </w:r>
    </w:p>
    <w:p>
      <w:pPr>
        <w:spacing w:after="0" w:line="12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CEO holdings equal 6x base salary;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Officers reporting directly to the CEO holdings equal 3x base salary.</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Executives subject to the stock ownership guidelines are required to hold 50% of net shares acquired through vesting of equity-based compensation programs until the minimum guideline level is met. Mr. Casey and Ms. Gerron had met the stock ownership holding requirement as of March 4, 2021.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Section 162(m) of the Internal Revenue Code (“Code”) limits the U.S. federal income tax deduction for compensation paid to our Chief Executive Officer and certain other highly compensated executive officers. Beginning in 2018, the maximum U.S. federal income tax deduction that we may receive for annual compensation paid to any officer, including the Chief Financial Officer, covered by Section 162(m) of the Code is $1 million per covered officer. For years prior to 2018, we were permitted to receive a tax deduction for “performance-based” compensation as defined under Section 162(m) of the Code without regard to the $1 million limitation, however recent U.S. tax legislation eliminated the performance-based exception. These new rules were effective starting in 2018 except that certain equity awards granted on or before November 2, 2017, could still qualify as performance-based compensation. To the extent that in 2018, or any later year, the aggregate amount of any covered officer’s salary, bonus, and amount realized from equity awards and other compensation amounts that are recognized as taxable income by the covered officer exceeds $1 million in any year, we will not be entitled to a U.S. federal income tax deduction for the amount that exceeds $1 million in that year.</w:t>
      </w:r>
    </w:p>
    <w:p>
      <w:pPr>
        <w:spacing w:after="0" w:line="73"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When establishing cash and equity incentive compensation programs for our executive officers, the Compensation Committee believes that potential deductibility of amounts payable should be only one of the relevant factors taken into account. Therefore, the Compensation Committee may decide to provide one or more executive officers with the opportunity to earn incentive compensation, via cash incentive awards or equity incentive awards as well as other forms of compensation, even if all or part of that compensation may not be deductible under current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003" w:right="35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Frank,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Ellen H. Masterson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45"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Incentive</w:t>
            </w:r>
          </w:p>
        </w:tc>
        <w:tc>
          <w:tcPr>
            <w:tcW w:w="132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and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Salary</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Bonus</w:t>
            </w:r>
          </w:p>
        </w:tc>
        <w:tc>
          <w:tcPr>
            <w:tcW w:w="114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Plan</w:t>
            </w: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Other</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Position</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(c)</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(d)</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w:t>
            </w: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(g)</w:t>
            </w:r>
          </w:p>
        </w:tc>
        <w:tc>
          <w:tcPr>
            <w:tcW w:w="1100" w:type="dxa"/>
            <w:vAlign w:val="bottom"/>
          </w:tcPr>
          <w:p>
            <w:pPr>
              <w:jc w:val="right"/>
              <w:ind w:right="373"/>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24"/>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733,333</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750,433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1,994,314</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1,066,500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3,738,314</w:t>
            </w:r>
          </w:p>
        </w:tc>
        <w:tc>
          <w:tcPr>
            <w:tcW w:w="0" w:type="dxa"/>
            <w:vAlign w:val="bottom"/>
          </w:tcPr>
          <w:p>
            <w:pPr>
              <w:spacing w:after="0"/>
              <w:rPr>
                <w:sz w:val="1"/>
                <w:szCs w:val="1"/>
                <w:color w:val="auto"/>
              </w:rPr>
            </w:pPr>
          </w:p>
        </w:tc>
      </w:tr>
      <w:tr>
        <w:trPr>
          <w:trHeight w:val="222"/>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Terry Forbes</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245,833</w:t>
            </w: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562,933</w:t>
            </w: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line="176" w:lineRule="exact"/>
              <w:rPr>
                <w:sz w:val="20"/>
                <w:szCs w:val="20"/>
                <w:color w:val="auto"/>
              </w:rPr>
            </w:pPr>
            <w:r>
              <w:rPr>
                <w:rFonts w:ascii="Arial" w:cs="Arial" w:eastAsia="Arial" w:hAnsi="Arial"/>
                <w:sz w:val="18"/>
                <w:szCs w:val="18"/>
                <w:color w:val="auto"/>
              </w:rPr>
              <w:t>Senior Vice President, Chief Financial</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225,000</w:t>
            </w: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119,140</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497,940</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Arial" w:cs="Arial" w:eastAsia="Arial" w:hAnsi="Arial"/>
                <w:sz w:val="18"/>
                <w:szCs w:val="18"/>
                <w:color w:val="auto"/>
              </w:rPr>
              <w:t>Officer &amp; Treasurer</w:t>
            </w:r>
          </w:p>
        </w:tc>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191,633</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106,314</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435,447</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739,600</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Senior Vice President, Chief Operating</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198,541</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675,341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255,833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259,098</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742,431</w:t>
            </w:r>
          </w:p>
        </w:tc>
        <w:tc>
          <w:tcPr>
            <w:tcW w:w="0" w:type="dxa"/>
            <w:vAlign w:val="bottom"/>
          </w:tcPr>
          <w:p>
            <w:pPr>
              <w:spacing w:after="0"/>
              <w:rPr>
                <w:sz w:val="1"/>
                <w:szCs w:val="1"/>
                <w:color w:val="auto"/>
              </w:rPr>
            </w:pPr>
          </w:p>
        </w:tc>
      </w:tr>
      <w:tr>
        <w:trPr>
          <w:trHeight w:val="222"/>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Julie K. Gerron</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637,100</w:t>
            </w: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line="176" w:lineRule="exact"/>
              <w:rPr>
                <w:sz w:val="20"/>
                <w:szCs w:val="20"/>
                <w:color w:val="auto"/>
              </w:rPr>
            </w:pPr>
            <w:r>
              <w:rPr>
                <w:rFonts w:ascii="Arial" w:cs="Arial" w:eastAsia="Arial" w:hAnsi="Arial"/>
                <w:sz w:val="18"/>
                <w:szCs w:val="18"/>
                <w:color w:val="auto"/>
                <w:w w:val="98"/>
              </w:rPr>
              <w:t>Senior Vice President, General Counsel,</w:t>
            </w:r>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250,000</w:t>
            </w: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173,728</w:t>
            </w:r>
          </w:p>
        </w:tc>
        <w:tc>
          <w:tcPr>
            <w:tcW w:w="100" w:type="dxa"/>
            <w:vAlign w:val="bottom"/>
          </w:tcPr>
          <w:p>
            <w:pPr>
              <w:spacing w:after="0"/>
              <w:rPr>
                <w:sz w:val="15"/>
                <w:szCs w:val="15"/>
                <w:color w:val="auto"/>
              </w:rPr>
            </w:pPr>
          </w:p>
        </w:tc>
        <w:tc>
          <w:tcPr>
            <w:tcW w:w="13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16,800</w:t>
            </w:r>
          </w:p>
        </w:tc>
        <w:tc>
          <w:tcPr>
            <w:tcW w:w="1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615,528</w:t>
            </w: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line="176" w:lineRule="exact"/>
              <w:rPr>
                <w:sz w:val="20"/>
                <w:szCs w:val="20"/>
                <w:color w:val="auto"/>
              </w:rPr>
            </w:pPr>
            <w:r>
              <w:rPr>
                <w:rFonts w:ascii="Arial" w:cs="Arial" w:eastAsia="Arial" w:hAnsi="Arial"/>
                <w:sz w:val="18"/>
                <w:szCs w:val="18"/>
                <w:color w:val="auto"/>
                <w:w w:val="99"/>
              </w:rPr>
              <w:t>Chief Compliance Officer and Corporate</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225,000</w:t>
            </w: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199,310</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616,810</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Secretary</w:t>
            </w: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4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767,100</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Senior Vice President, Head of Institutional</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270,833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223,354</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685,987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158,173</w:t>
            </w:r>
          </w:p>
        </w:tc>
        <w:tc>
          <w:tcPr>
            <w:tcW w:w="8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29,669</w:t>
            </w:r>
          </w:p>
        </w:tc>
        <w:tc>
          <w:tcPr>
            <w:tcW w:w="10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412,842</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1"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column represents base compensation earned during each of the fiscal years presented.</w:t>
      </w:r>
    </w:p>
    <w:p>
      <w:pPr>
        <w:spacing w:after="0" w:line="17"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2020, the amounts for Messrs. Forbes, Gomez and Paddon and Ms. Gerron reflect the cash payments made under our employee bonus pool.</w:t>
      </w:r>
    </w:p>
    <w:p>
      <w:pPr>
        <w:spacing w:after="0" w:line="21" w:lineRule="exact"/>
        <w:rPr>
          <w:rFonts w:ascii="Arial" w:cs="Arial" w:eastAsia="Arial" w:hAnsi="Arial"/>
          <w:sz w:val="14"/>
          <w:szCs w:val="14"/>
          <w:color w:val="auto"/>
        </w:rPr>
      </w:pPr>
    </w:p>
    <w:p>
      <w:pPr>
        <w:ind w:left="660" w:right="100" w:hanging="652"/>
        <w:spacing w:after="0" w:line="249" w:lineRule="auto"/>
        <w:tabs>
          <w:tab w:leader="none" w:pos="324"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2020, the amounts contained in column (e) reflect (i) no restricted stock award granted for Mr. Casey in 2020 (ii) for Mr. Forbes, the grant date fair value of his time-vested restricted stock award granted in 2020 (4,879 shares), (iii) for Mr. Gomez, the grant date fair value of his time-vested restricted stock award granted in 2020 (9,036 shares), (iv) for Ms. Gerron, the grant date fair value of her time-vested restricted stock award granted in 2020 (6,325 shares) and (v) for Mr. Paddon, the grant date fair value of his time-vested restricted stock award granted in 2020 (8,132 shares).</w:t>
      </w:r>
    </w:p>
    <w:p>
      <w:pPr>
        <w:ind w:left="660" w:right="280"/>
        <w:spacing w:after="0" w:line="246" w:lineRule="auto"/>
        <w:rPr>
          <w:rFonts w:ascii="Arial" w:cs="Arial" w:eastAsia="Arial" w:hAnsi="Arial"/>
          <w:sz w:val="14"/>
          <w:szCs w:val="14"/>
          <w:color w:val="auto"/>
        </w:rPr>
      </w:pPr>
      <w:r>
        <w:rPr>
          <w:rFonts w:ascii="Arial" w:cs="Arial" w:eastAsia="Arial" w:hAnsi="Arial"/>
          <w:sz w:val="14"/>
          <w:szCs w:val="14"/>
          <w:color w:val="auto"/>
        </w:rPr>
        <w:t>For 2019, the amounts contained in column (e) reflect (1) no restricted stock award granted for Mr. Casey in 2019 (ii) for Mr. Forbes, the grant date fair value of his time-vested restricted stock award granted in 2019 (3,073 shares), (iii) for Mr. Gomez, the grant date fair value of his time-vested restricted stock award granted in 2019 (5,121 shares), (iv) for Ms. Gerron, the grant date fair value of her time-vested restricted stock award granted in 2019 (4,481 shares) and (v) for Mr. Paddon, the grant date fair value of his time-vested restricted stock award granted in 2019 (5,761 shares).</w:t>
      </w:r>
    </w:p>
    <w:p>
      <w:pPr>
        <w:spacing w:after="0" w:line="1" w:lineRule="exact"/>
        <w:rPr>
          <w:rFonts w:ascii="Arial" w:cs="Arial" w:eastAsia="Arial" w:hAnsi="Arial"/>
          <w:sz w:val="14"/>
          <w:szCs w:val="14"/>
          <w:color w:val="auto"/>
        </w:rPr>
      </w:pPr>
    </w:p>
    <w:p>
      <w:pPr>
        <w:ind w:left="660" w:right="40"/>
        <w:spacing w:after="0" w:line="248" w:lineRule="auto"/>
        <w:rPr>
          <w:rFonts w:ascii="Arial" w:cs="Arial" w:eastAsia="Arial" w:hAnsi="Arial"/>
          <w:sz w:val="14"/>
          <w:szCs w:val="14"/>
          <w:color w:val="auto"/>
        </w:rPr>
      </w:pPr>
      <w:r>
        <w:rPr>
          <w:rFonts w:ascii="Arial" w:cs="Arial" w:eastAsia="Arial" w:hAnsi="Arial"/>
          <w:sz w:val="14"/>
          <w:szCs w:val="14"/>
          <w:color w:val="auto"/>
        </w:rPr>
        <w:t>For 2018, the amounts contained in column (e) reflect (i) for Mr. Casey, the grant date fair value of his 2018 performance-based restricted stock awards based on target performance (35,966 shares), whereby the maximum threshold is 51,252 shares, or $2,841,923, (ii) for Mr. Forbes, the grant date fair value of his time-vested restricted stock award granted in 2018 (1,908 shares), (iii) for Mr. Gomez, the grant date fair value of his time-vested restricted stock award granted in 2018 (4,650 shares), and (iv) for Ms. Gerron, the grant date fair value of her time-vested restricted stock award granted in 2018 (3,577 shares).</w:t>
      </w:r>
    </w:p>
    <w:p>
      <w:pPr>
        <w:spacing w:after="0" w:line="2" w:lineRule="exact"/>
        <w:rPr>
          <w:rFonts w:ascii="Arial" w:cs="Arial" w:eastAsia="Arial" w:hAnsi="Arial"/>
          <w:sz w:val="14"/>
          <w:szCs w:val="14"/>
          <w:color w:val="auto"/>
        </w:rPr>
      </w:pPr>
    </w:p>
    <w:p>
      <w:pPr>
        <w:ind w:left="660" w:right="140"/>
        <w:spacing w:after="0" w:line="270" w:lineRule="auto"/>
        <w:rPr>
          <w:rFonts w:ascii="Arial" w:cs="Arial" w:eastAsia="Arial" w:hAnsi="Arial"/>
          <w:sz w:val="14"/>
          <w:szCs w:val="14"/>
          <w:color w:val="auto"/>
        </w:rPr>
      </w:pPr>
      <w:r>
        <w:rPr>
          <w:rFonts w:ascii="Arial" w:cs="Arial" w:eastAsia="Arial" w:hAnsi="Arial"/>
          <w:sz w:val="13"/>
          <w:szCs w:val="13"/>
          <w:color w:val="auto"/>
        </w:rPr>
        <w:t>The above grant date fair values reported in column (e) were calculated in accordance with Accounting Standards Codification Topic 718 ("ASC 718"), "Stock Compensation." The assumptions used in the valuation of the performance-based and time-vested restricted stock awards are discussed in Note 9 "Employee Benefits" of our audited financial statements, which are included in our 2020 Form 10-K. See the "Compensation Discussion and Analysis" section above for a further description of these restricted stock awards.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2018, the amounts in column (f) reflect the cash payment to Mr. Casey, in accordance with his annual cash incentive award.</w:t>
      </w:r>
    </w:p>
    <w:p>
      <w:pPr>
        <w:spacing w:after="0" w:line="14" w:lineRule="exact"/>
        <w:rPr>
          <w:rFonts w:ascii="Arial" w:cs="Arial" w:eastAsia="Arial" w:hAnsi="Arial"/>
          <w:sz w:val="14"/>
          <w:szCs w:val="14"/>
          <w:color w:val="auto"/>
        </w:rPr>
      </w:pPr>
    </w:p>
    <w:p>
      <w:pPr>
        <w:ind w:left="660" w:right="560" w:hanging="652"/>
        <w:spacing w:after="0" w:line="263" w:lineRule="auto"/>
        <w:tabs>
          <w:tab w:leader="none" w:pos="321"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2020.</w:t>
      </w:r>
    </w:p>
    <w:p>
      <w:pPr>
        <w:spacing w:after="0" w:line="77"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currently have an employment agreement with Mr. Casey. Under his agreement, Mr. Casey receives a minimum base salary; is eligible to receive on an annual basis performance-based bonuses and discretionary bonuses in the form of both cash and restricted shares. Mr. Casey may become fully vested in his unvested equity compensation (depending on the cause of termination of employment), and is eligible to receive salary and benefits for up to two years after the termination of his employment (depending on the cause of termination of employment). In accordance with the terms of his employment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9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agreement, Mr. Casey was paid an annual salary of $750,000 in 2020 and was eligible to receive an annual cash incentive award.</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October 2018, we entered into an Offer Letter with Mr. Forbes in connection with his promotion to Chief Financial Officer. The Company agreed to pay Mr. Forbes an annual base salary of $225,000, and he is eligible for a target annual variable compensation bonus opportunity of $300,000 split between cash and shares of Company stock. Mr. Forbes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70"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In May 2018, we entered into an Offer Letter with Mr. Paddon in connection with his hire as our Head of Institutional Sales. The Company paid Mr. Paddon $13,852 in relocation expenses and agreed to pay him an annual base salary of $250,000. He is eligible for a target annual variable compensation bonus opportunity of $550,000 split between cash and shares of Company stock beginning in 2019. For 2018, the Company agreed to pay Mr. Paddon a minimum of $321,000, split between cash and shares of Company stock. Mr. Paddon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We believe our executive compensation program must be consistent and equitable to motivate our employees to perform in ways that enhance shareholder value. We are committed to internal pay equity, and the Compensation Committee carefully monitors the relationship between the pay of our executive officers and the pay of our non-executive employees. The Compensation Committee reviewed a comparison of our CEO’s annual total compensation in 2020 to that of all other Company employees for the same period. The calculation of annual total compensation of all employees was determined in the same manner as the total compensation shown for our CEO in the "2020 Summary Compensation Table" above. The pay elements included in the annual total compensation for each employee are:</w:t>
      </w:r>
    </w:p>
    <w:p>
      <w:pPr>
        <w:spacing w:after="0" w:line="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Salary and overtime received in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Grant date fair value of restricted stock awards granted in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Company matching contributions and Company profit sharing contributions under our 401(k) Plan or Registered Retirement Savings Plan in 2020.</w:t>
      </w:r>
    </w:p>
    <w:p>
      <w:pPr>
        <w:spacing w:after="0" w:line="14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calculation includes all employees as of December 31, 2020. We applied a Canadian dollar to U.S. dollar exchange rate to the compensation elements paid in Canadian dollars.</w:t>
      </w:r>
    </w:p>
    <w:p>
      <w:pPr>
        <w:spacing w:after="0" w:line="62"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We determined the compensation of our median employee as follows: (i) calculated the consistently applied compensation measure ("CACM") for each of our employees; (ii) ranked the CACM of all employees except the CEO from lowest to highest (a list of 136 employees); and (iii) determined the CACM of the employee ranked 69th on the list ("Median Employee").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pay elements included in the CACM are:</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Salary and overtime received in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Grant date fair value of restricted stock awards earned in 2020.</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annual total compensation in 2020 for our CEO was $750,433 and for our Median Employee was $138,000, resulting in a 5.4 to 1 ratio of our CEO pay to our Median Employee's pay.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Grants of Plan-Based Awards in 2020</w:t>
      </w:r>
    </w:p>
    <w:p>
      <w:pPr>
        <w:spacing w:after="0" w:line="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2020. The equity plan-based awards set forth below consisted solely of restricted shares of our common stock granted under the Stock Incentive Plan.</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Estimated Future Payouts Under Non-Equity</w:t>
            </w:r>
          </w:p>
        </w:tc>
        <w:tc>
          <w:tcPr>
            <w:tcW w:w="32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Estimated Future Payouts Under Equity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5"/>
          </w:tcPr>
          <w:p>
            <w:pPr>
              <w:jc w:val="center"/>
              <w:ind w:left="740"/>
              <w:spacing w:after="0"/>
              <w:rPr>
                <w:sz w:val="20"/>
                <w:szCs w:val="20"/>
                <w:color w:val="auto"/>
              </w:rPr>
            </w:pPr>
            <w:r>
              <w:rPr>
                <w:rFonts w:ascii="Arial" w:cs="Arial" w:eastAsia="Arial" w:hAnsi="Arial"/>
                <w:sz w:val="14"/>
                <w:szCs w:val="14"/>
                <w:b w:val="1"/>
                <w:bCs w:val="1"/>
                <w:color w:val="auto"/>
                <w:w w:val="92"/>
              </w:rPr>
              <w:t>Incentive Plan Awards</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Borders>
              <w:bottom w:val="single" w:sz="8" w:color="auto"/>
            </w:tcBorders>
            <w:gridSpan w:val="5"/>
          </w:tcPr>
          <w:p>
            <w:pPr>
              <w:jc w:val="center"/>
              <w:ind w:left="760"/>
              <w:spacing w:after="0"/>
              <w:rPr>
                <w:sz w:val="20"/>
                <w:szCs w:val="20"/>
                <w:color w:val="auto"/>
              </w:rPr>
            </w:pPr>
            <w:r>
              <w:rPr>
                <w:rFonts w:ascii="Arial" w:cs="Arial" w:eastAsia="Arial" w:hAnsi="Arial"/>
                <w:sz w:val="14"/>
                <w:szCs w:val="14"/>
                <w:b w:val="1"/>
                <w:bCs w:val="1"/>
                <w:color w:val="auto"/>
                <w:w w:val="92"/>
              </w:rPr>
              <w:t>Incentive Plan Awards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24"/>
                <w:szCs w:val="24"/>
                <w:color w:val="auto"/>
              </w:rPr>
            </w:pPr>
          </w:p>
        </w:tc>
        <w:tc>
          <w:tcPr>
            <w:tcW w:w="9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Stock Awards:</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Grant</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Threshold</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Threshold</w:t>
            </w: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9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 of Stock</w:t>
            </w:r>
          </w:p>
        </w:tc>
        <w:tc>
          <w:tcPr>
            <w:tcW w:w="140" w:type="dxa"/>
            <w:vAlign w:val="bottom"/>
          </w:tcPr>
          <w:p>
            <w:pPr>
              <w:spacing w:after="0"/>
              <w:rPr>
                <w:sz w:val="11"/>
                <w:szCs w:val="11"/>
                <w:color w:val="auto"/>
              </w:rPr>
            </w:pPr>
          </w:p>
        </w:tc>
        <w:tc>
          <w:tcPr>
            <w:tcW w:w="9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of Stock ($)</w:t>
            </w:r>
          </w:p>
        </w:tc>
        <w:tc>
          <w:tcPr>
            <w:tcW w:w="0" w:type="dxa"/>
            <w:vAlign w:val="bottom"/>
          </w:tcPr>
          <w:p>
            <w:pPr>
              <w:spacing w:after="0"/>
              <w:rPr>
                <w:sz w:val="1"/>
                <w:szCs w:val="1"/>
                <w:color w:val="auto"/>
              </w:rPr>
            </w:pPr>
          </w:p>
        </w:tc>
      </w:tr>
      <w:tr>
        <w:trPr>
          <w:trHeight w:val="135"/>
        </w:trPr>
        <w:tc>
          <w:tcPr>
            <w:tcW w:w="1620" w:type="dxa"/>
            <w:vAlign w:val="bottom"/>
            <w:gridSpan w:val="2"/>
            <w:vMerge w:val="continue"/>
          </w:tcPr>
          <w:p>
            <w:pPr>
              <w:spacing w:after="0"/>
              <w:rPr>
                <w:sz w:val="11"/>
                <w:szCs w:val="11"/>
                <w:color w:val="auto"/>
              </w:rPr>
            </w:pPr>
          </w:p>
        </w:tc>
        <w:tc>
          <w:tcPr>
            <w:tcW w:w="1040" w:type="dxa"/>
            <w:vAlign w:val="bottom"/>
            <w:gridSpan w:val="2"/>
          </w:tcPr>
          <w:p>
            <w:pPr>
              <w:ind w:left="320"/>
              <w:spacing w:after="0" w:line="135" w:lineRule="exact"/>
              <w:rPr>
                <w:sz w:val="20"/>
                <w:szCs w:val="20"/>
                <w:color w:val="auto"/>
              </w:rPr>
            </w:pPr>
            <w:r>
              <w:rPr>
                <w:rFonts w:ascii="Arial" w:cs="Arial" w:eastAsia="Arial" w:hAnsi="Arial"/>
                <w:sz w:val="14"/>
                <w:szCs w:val="14"/>
                <w:b w:val="1"/>
                <w:bCs w:val="1"/>
                <w:color w:val="auto"/>
              </w:rPr>
              <w:t>Date</w:t>
            </w:r>
          </w:p>
        </w:tc>
        <w:tc>
          <w:tcPr>
            <w:tcW w:w="960" w:type="dxa"/>
            <w:vAlign w:val="bottom"/>
          </w:tcPr>
          <w:p>
            <w:pPr>
              <w:ind w:left="400"/>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9"/>
              </w:rPr>
              <w:t>(#) (i)</w:t>
            </w:r>
          </w:p>
        </w:tc>
        <w:tc>
          <w:tcPr>
            <w:tcW w:w="140" w:type="dxa"/>
            <w:vAlign w:val="bottom"/>
          </w:tcPr>
          <w:p>
            <w:pPr>
              <w:spacing w:after="0"/>
              <w:rPr>
                <w:sz w:val="11"/>
                <w:szCs w:val="11"/>
                <w:color w:val="auto"/>
              </w:rPr>
            </w:pPr>
          </w:p>
        </w:tc>
        <w:tc>
          <w:tcPr>
            <w:tcW w:w="9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88"/>
        </w:trPr>
        <w:tc>
          <w:tcPr>
            <w:tcW w:w="1620" w:type="dxa"/>
            <w:vAlign w:val="bottom"/>
            <w:gridSpan w:val="2"/>
          </w:tcPr>
          <w:p>
            <w:pPr>
              <w:ind w:left="680"/>
              <w:spacing w:after="0"/>
              <w:rPr>
                <w:sz w:val="20"/>
                <w:szCs w:val="20"/>
                <w:color w:val="auto"/>
              </w:rPr>
            </w:pPr>
            <w:r>
              <w:rPr>
                <w:rFonts w:ascii="Arial" w:cs="Arial" w:eastAsia="Arial" w:hAnsi="Arial"/>
                <w:sz w:val="14"/>
                <w:szCs w:val="14"/>
                <w:b w:val="1"/>
                <w:bCs w:val="1"/>
                <w:color w:val="auto"/>
              </w:rPr>
              <w:t>(a)</w:t>
            </w: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(b)</w:t>
            </w:r>
          </w:p>
        </w:tc>
        <w:tc>
          <w:tcPr>
            <w:tcW w:w="1080" w:type="dxa"/>
            <w:vAlign w:val="bottom"/>
            <w:gridSpan w:val="2"/>
          </w:tcPr>
          <w:p>
            <w:pPr>
              <w:ind w:left="400"/>
              <w:spacing w:after="0"/>
              <w:rPr>
                <w:sz w:val="20"/>
                <w:szCs w:val="20"/>
                <w:color w:val="auto"/>
              </w:rPr>
            </w:pPr>
            <w:r>
              <w:rPr>
                <w:rFonts w:ascii="Arial" w:cs="Arial" w:eastAsia="Arial" w:hAnsi="Arial"/>
                <w:sz w:val="14"/>
                <w:szCs w:val="14"/>
                <w:b w:val="1"/>
                <w:bCs w:val="1"/>
                <w:color w:val="auto"/>
              </w:rPr>
              <w:t>(c)</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(f)</w:t>
            </w: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(g)</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(h)</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24"/>
        </w:trPr>
        <w:tc>
          <w:tcPr>
            <w:tcW w:w="1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2/21/20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135,002</w:t>
            </w:r>
          </w:p>
        </w:tc>
        <w:tc>
          <w:tcPr>
            <w:tcW w:w="0" w:type="dxa"/>
            <w:vAlign w:val="bottom"/>
          </w:tcPr>
          <w:p>
            <w:pPr>
              <w:spacing w:after="0"/>
              <w:rPr>
                <w:sz w:val="1"/>
                <w:szCs w:val="1"/>
                <w:color w:val="auto"/>
              </w:rPr>
            </w:pP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920" w:type="dxa"/>
            <w:vAlign w:val="bottom"/>
          </w:tcPr>
          <w:p>
            <w:pPr>
              <w:ind w:left="360"/>
              <w:spacing w:after="0"/>
              <w:rPr>
                <w:sz w:val="20"/>
                <w:szCs w:val="20"/>
                <w:color w:val="auto"/>
              </w:rPr>
            </w:pPr>
            <w:r>
              <w:rPr>
                <w:rFonts w:ascii="Arial" w:cs="Arial" w:eastAsia="Arial" w:hAnsi="Arial"/>
                <w:sz w:val="18"/>
                <w:szCs w:val="18"/>
                <w:color w:val="auto"/>
                <w:w w:val="89"/>
              </w:rPr>
              <w:t>2/21/20</w:t>
            </w: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250,026</w:t>
            </w: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2/21/20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175,013</w:t>
            </w:r>
          </w:p>
        </w:tc>
        <w:tc>
          <w:tcPr>
            <w:tcW w:w="0" w:type="dxa"/>
            <w:vAlign w:val="bottom"/>
          </w:tcPr>
          <w:p>
            <w:pPr>
              <w:spacing w:after="0"/>
              <w:rPr>
                <w:sz w:val="1"/>
                <w:szCs w:val="1"/>
                <w:color w:val="auto"/>
              </w:rPr>
            </w:pP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920" w:type="dxa"/>
            <w:vAlign w:val="bottom"/>
          </w:tcPr>
          <w:p>
            <w:pPr>
              <w:ind w:left="360"/>
              <w:spacing w:after="0"/>
              <w:rPr>
                <w:sz w:val="20"/>
                <w:szCs w:val="20"/>
                <w:color w:val="auto"/>
              </w:rPr>
            </w:pPr>
            <w:r>
              <w:rPr>
                <w:rFonts w:ascii="Arial" w:cs="Arial" w:eastAsia="Arial" w:hAnsi="Arial"/>
                <w:sz w:val="18"/>
                <w:szCs w:val="18"/>
                <w:color w:val="auto"/>
                <w:w w:val="89"/>
              </w:rPr>
              <w:t>2/21/20</w:t>
            </w:r>
          </w:p>
        </w:tc>
        <w:tc>
          <w:tcPr>
            <w:tcW w:w="1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225,012</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20" w:lineRule="exact"/>
        <w:rPr>
          <w:sz w:val="20"/>
          <w:szCs w:val="20"/>
          <w:color w:val="auto"/>
        </w:rPr>
      </w:pPr>
    </w:p>
    <w:p>
      <w:pPr>
        <w:ind w:left="660" w:right="40" w:hanging="652"/>
        <w:spacing w:after="0" w:line="250" w:lineRule="auto"/>
        <w:tabs>
          <w:tab w:leader="none" w:pos="321"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Messrs. Forbes, Gomez, and Paddon and Ms. Gerron in 2020. The shares vest as follows: 25% after one year, 50% after two years; 75% after three years; and 100% after four years.</w:t>
      </w:r>
    </w:p>
    <w:p>
      <w:pPr>
        <w:ind w:left="660" w:right="20" w:hanging="652"/>
        <w:spacing w:after="0" w:line="244" w:lineRule="auto"/>
        <w:tabs>
          <w:tab w:leader="none" w:pos="321"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amounts in column (j) reflect the grant date fair value of (i) the tranche of Mr. Casey’s performance-based restricted stock award subject to vesting, and (ii) Messrs. Forbes, Gomez and Paddon and Ms. Gerron’s time-vested restricted stock awards granted in 2020, computed in accordance with ASC 718. The assumptions used in the valuation of the restricted stock awards are discussed in Note 10 "Employee Benefits" of our audited financial statements, included in our 2020 Form 10-K. The grant date fair value for Messrs. Forbes and Gomez and Ms. Gerron’s time–vested awards was based on $27.67 per share, which was the closing price of our common stock on the grant date of February 21, 2020, adjusted for the accrual of dividends on unvested shares.</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w:t>
      </w:r>
    </w:p>
    <w:p>
      <w:pPr>
        <w:spacing w:after="0" w:line="12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All equity-based incentive awards, except those granted under the Share Award Plan of Westwood Holdings Group, Inc. for Service Provided in Canada to its Subsidiaries, are governed by the Stock Incentive Plan.</w:t>
      </w:r>
    </w:p>
    <w:p>
      <w:pPr>
        <w:spacing w:after="0" w:line="6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In 2020,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5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Stock Incentive Plan authorizes the grant of several types of equity-based awards, including incentive stock options ("ISOs"), nonstatutory stock options ("NSOs"), restricted stock, stock purchase rights, stock appreciation rights ("SARS"), restricted stock units ("RSU")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To date, the Compensation Committee has limited its equity-based awards under the Stock Incentive Plan to NSOs and restricted stock. The Compensation Committee believes that restricted stock awards are the most effective vehicle to align the interests of employees with stockholders and clients. Unless the Compensation Committee determines otherwise, the recipient of restricted shares 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6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4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Time-vested restricted stock awards are generally subject to the following four-year vesting schedule: 25% after one year, 50% after two years, 75% after three years and 100% after four years. The Compensation Committee believes that this long-term vesting schedule is effective in acting as a retention tool for Messrs. Forbes, Gomez and Paddon, Ms. Gerron and other non-executive employees. All employees are eligible to receive time-vested restricted stock awards.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94" w:right="339" w:bottom="1440" w:gutter="0" w:footer="0" w:header="0"/>
        </w:sectPr>
      </w:pPr>
    </w:p>
    <w:bookmarkStart w:id="36" w:name="page37"/>
    <w:bookmarkEnd w:id="36"/>
    <w:p>
      <w:pPr>
        <w:ind w:right="60" w:firstLine="405"/>
        <w:spacing w:after="0" w:line="259" w:lineRule="auto"/>
        <w:rPr>
          <w:sz w:val="20"/>
          <w:szCs w:val="20"/>
          <w:color w:val="auto"/>
        </w:rPr>
      </w:pPr>
      <w:r>
        <w:rPr>
          <w:rFonts w:ascii="Arial" w:cs="Arial" w:eastAsia="Arial" w:hAnsi="Arial"/>
          <w:sz w:val="18"/>
          <w:szCs w:val="18"/>
          <w:color w:val="auto"/>
        </w:rPr>
        <w:t>During 2020,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2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which auto-renewed for an additional one-year period on January 1, 2020 and is subject to potential automatic renewals for subsequent one-year periods.</w:t>
      </w:r>
    </w:p>
    <w:p>
      <w:pPr>
        <w:spacing w:after="0" w:line="6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57"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There is no written employment agreement with Mr. Forbes; however, Mr. Forbes and the Company entered into an employee confidentiality and non-compete agreement effective November 1, 2018 providing that Mr. Forbes may terminate his employment with the Company upon six months'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In addition, the agreement contains a non-competition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66"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There is no written employment agreement with Mr. Gomez; however, in connection with his appointment as Chief Operating Officer on February 9, 2018, the Company and Mr. Gomez entered into a severance benefit agreement providing for continued vesting of Mr. Gomez’s outstanding unvested restricted stock awards upon his involuntary termination of employment by the Company without “cause” (as defined in the agreement) or his voluntary termination of employment with the Company for “good reason” (as defined in the agreement), provided he (a) complies fully with all obligations under his agreement and the employee confidentiality and non-compete agreement between the Company and Mr. Gomez dated February 8, 2018, and (b) executes and does not revoke a general release of all claims arising out of or related to his employment with the Company.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outstanding equity awards held by our named executive officers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Equity</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Incentive</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Plan</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Number</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Unearned</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 Stock</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That</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That</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Have</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Have</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vMerge w:val="continue"/>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Not</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Not</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Vested</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Not Vested</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Vested</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35"/>
        </w:trPr>
        <w:tc>
          <w:tcPr>
            <w:tcW w:w="26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Options (#)</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5"/>
        </w:trPr>
        <w:tc>
          <w:tcPr>
            <w:tcW w:w="264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Exercisable</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(g)</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(h)</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88"/>
        </w:trPr>
        <w:tc>
          <w:tcPr>
            <w:tcW w:w="2640" w:type="dxa"/>
            <w:vAlign w:val="bottom"/>
            <w:gridSpan w:val="2"/>
          </w:tcPr>
          <w:p>
            <w:pPr>
              <w:ind w:left="1180"/>
              <w:spacing w:after="0"/>
              <w:rPr>
                <w:sz w:val="20"/>
                <w:szCs w:val="20"/>
                <w:color w:val="auto"/>
              </w:rPr>
            </w:pPr>
            <w:r>
              <w:rPr>
                <w:rFonts w:ascii="Arial" w:cs="Arial" w:eastAsia="Arial" w:hAnsi="Arial"/>
                <w:sz w:val="14"/>
                <w:szCs w:val="14"/>
                <w:b w:val="1"/>
                <w:bCs w:val="1"/>
                <w:color w:val="auto"/>
              </w:rPr>
              <w:t>(a)</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24"/>
        </w:trPr>
        <w:tc>
          <w:tcPr>
            <w:tcW w:w="2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177,321</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134,894</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252,518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13,407</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194,402</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Steve Paddon</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201,449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47"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according to the following schedule provided that the individual is still employed by us on the vesting date.</w:t>
      </w:r>
    </w:p>
    <w:p>
      <w:pPr>
        <w:spacing w:after="0" w:line="37" w:lineRule="exact"/>
        <w:rPr>
          <w:rFonts w:ascii="Arial" w:cs="Arial" w:eastAsia="Arial" w:hAnsi="Arial"/>
          <w:sz w:val="14"/>
          <w:szCs w:val="14"/>
          <w:color w:val="auto"/>
        </w:rPr>
      </w:pPr>
    </w:p>
    <w:p>
      <w:pPr>
        <w:ind w:left="8000"/>
        <w:spacing w:after="0"/>
        <w:rPr>
          <w:rFonts w:ascii="Arial" w:cs="Arial" w:eastAsia="Arial" w:hAnsi="Arial"/>
          <w:sz w:val="14"/>
          <w:szCs w:val="14"/>
          <w:color w:val="auto"/>
        </w:rPr>
      </w:pPr>
      <w:r>
        <w:rPr>
          <w:rFonts w:ascii="Arial" w:cs="Arial" w:eastAsia="Arial" w:hAnsi="Arial"/>
          <w:sz w:val="14"/>
          <w:szCs w:val="14"/>
          <w:b w:val="1"/>
          <w:bCs w:val="1"/>
          <w:color w:val="auto"/>
        </w:rPr>
        <w:t>Shares scheduled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60" w:type="dxa"/>
            <w:vAlign w:val="bottom"/>
            <w:gridSpan w:val="2"/>
          </w:tcPr>
          <w:p>
            <w:pPr>
              <w:ind w:left="14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2024</w:t>
            </w:r>
          </w:p>
        </w:tc>
      </w:tr>
      <w:tr>
        <w:trPr>
          <w:trHeight w:val="224"/>
        </w:trPr>
        <w:tc>
          <w:tcPr>
            <w:tcW w:w="62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2,465</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1,988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1,220</w:t>
            </w:r>
          </w:p>
        </w:tc>
      </w:tr>
      <w:tr>
        <w:trPr>
          <w:trHeight w:val="229"/>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6,915</w:t>
            </w:r>
          </w:p>
        </w:tc>
        <w:tc>
          <w:tcPr>
            <w:tcW w:w="10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4,702</w:t>
            </w: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3,539</w:t>
            </w: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2,259</w:t>
            </w:r>
          </w:p>
        </w:tc>
      </w:tr>
      <w:tr>
        <w:trPr>
          <w:trHeight w:val="230"/>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1,581</w:t>
            </w:r>
          </w:p>
        </w:tc>
      </w:tr>
      <w:tr>
        <w:trPr>
          <w:trHeight w:val="23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Steve Paddon</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4,914</w:t>
            </w:r>
          </w:p>
        </w:tc>
        <w:tc>
          <w:tcPr>
            <w:tcW w:w="10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2,033</w:t>
            </w:r>
          </w:p>
        </w:tc>
      </w:tr>
    </w:tbl>
    <w:p>
      <w:pPr>
        <w:spacing w:after="0" w:line="200" w:lineRule="exact"/>
        <w:rPr>
          <w:sz w:val="20"/>
          <w:szCs w:val="20"/>
          <w:color w:val="auto"/>
        </w:rPr>
      </w:pPr>
    </w:p>
    <w:p>
      <w:pPr>
        <w:spacing w:after="0" w:line="212" w:lineRule="exact"/>
        <w:rPr>
          <w:sz w:val="20"/>
          <w:szCs w:val="20"/>
          <w:color w:val="auto"/>
        </w:rPr>
      </w:pPr>
    </w:p>
    <w:p>
      <w:pPr>
        <w:ind w:left="660" w:right="140" w:hanging="612"/>
        <w:spacing w:after="0" w:line="297" w:lineRule="auto"/>
        <w:tabs>
          <w:tab w:leader="none" w:pos="362"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shares in column (i) represent an unearned, performance-based restricted stock incentive award granted to Mr. Casey in 2016, 2017 and 2018, which will vest according to the following schedule, provided that Mr. Casey is, generally, still employed by us on the vesting date. Each year, the Compensation Committee establishes a specific goal for that year’s grant of restricted shares. The performance goals are based upon criteria set forth in the Stock Incentive Plan. The specific performance goals for each year were established no later than March 31 of the grant year. See the "Compensation Discussion and Analysis" section above for a further description of this performance-based restricted stock incentive award.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Shares scheduled to vest</w:t>
            </w:r>
          </w:p>
        </w:tc>
      </w:tr>
      <w:tr>
        <w:trPr>
          <w:trHeight w:val="188"/>
        </w:trPr>
        <w:tc>
          <w:tcPr>
            <w:tcW w:w="8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340" w:type="dxa"/>
            <w:vAlign w:val="bottom"/>
          </w:tcPr>
          <w:p>
            <w:pPr>
              <w:jc w:val="right"/>
              <w:ind w:right="965"/>
              <w:spacing w:after="0"/>
              <w:rPr>
                <w:sz w:val="20"/>
                <w:szCs w:val="20"/>
                <w:color w:val="auto"/>
              </w:rPr>
            </w:pPr>
            <w:r>
              <w:rPr>
                <w:rFonts w:ascii="Arial" w:cs="Arial" w:eastAsia="Arial" w:hAnsi="Arial"/>
                <w:sz w:val="14"/>
                <w:szCs w:val="14"/>
                <w:b w:val="1"/>
                <w:bCs w:val="1"/>
                <w:color w:val="auto"/>
              </w:rPr>
              <w:t>2021</w:t>
            </w:r>
          </w:p>
        </w:tc>
      </w:tr>
      <w:tr>
        <w:trPr>
          <w:trHeight w:val="224"/>
        </w:trPr>
        <w:tc>
          <w:tcPr>
            <w:tcW w:w="8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12,229</w:t>
            </w:r>
          </w:p>
        </w:tc>
      </w:tr>
    </w:tbl>
    <w:p>
      <w:pPr>
        <w:spacing w:after="0" w:line="89" w:lineRule="exact"/>
        <w:rPr>
          <w:sz w:val="20"/>
          <w:szCs w:val="20"/>
          <w:color w:val="auto"/>
        </w:rPr>
      </w:pPr>
    </w:p>
    <w:p>
      <w:pPr>
        <w:ind w:left="660" w:right="360" w:hanging="616"/>
        <w:spacing w:after="0" w:line="273" w:lineRule="auto"/>
        <w:tabs>
          <w:tab w:leader="none" w:pos="35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$14.50, the closing market price of our common stock as of December 31, 2020, the last business day in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02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Stock Vested in 2020</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w w:val="99"/>
              </w:rPr>
              <w:t>Stock Awards</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Number of Shares</w:t>
            </w:r>
          </w:p>
        </w:tc>
        <w:tc>
          <w:tcPr>
            <w:tcW w:w="1540" w:type="dxa"/>
            <w:vAlign w:val="bottom"/>
          </w:tcPr>
          <w:p>
            <w:pPr>
              <w:jc w:val="center"/>
              <w:ind w:right="359"/>
              <w:spacing w:after="0" w:line="135"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Acquired on</w:t>
            </w:r>
          </w:p>
        </w:tc>
        <w:tc>
          <w:tcPr>
            <w:tcW w:w="154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35"/>
        </w:trPr>
        <w:tc>
          <w:tcPr>
            <w:tcW w:w="7080" w:type="dxa"/>
            <w:vAlign w:val="bottom"/>
            <w:gridSpan w:val="2"/>
            <w:vMerge w:val="restart"/>
          </w:tcPr>
          <w:p>
            <w:pPr>
              <w:ind w:left="3320"/>
              <w:spacing w:after="0"/>
              <w:rPr>
                <w:sz w:val="20"/>
                <w:szCs w:val="20"/>
                <w:color w:val="auto"/>
              </w:rPr>
            </w:pPr>
            <w:r>
              <w:rPr>
                <w:rFonts w:ascii="Arial" w:cs="Arial" w:eastAsia="Arial" w:hAnsi="Arial"/>
                <w:sz w:val="14"/>
                <w:szCs w:val="14"/>
                <w:b w:val="1"/>
                <w:bCs w:val="1"/>
                <w:color w:val="auto"/>
              </w:rPr>
              <w:t>Name</w:t>
            </w:r>
          </w:p>
        </w:tc>
        <w:tc>
          <w:tcPr>
            <w:tcW w:w="256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89"/>
              </w:rPr>
              <w:t>Vesting (#)</w:t>
            </w:r>
          </w:p>
        </w:tc>
        <w:tc>
          <w:tcPr>
            <w:tcW w:w="1540" w:type="dxa"/>
            <w:vAlign w:val="bottom"/>
          </w:tcPr>
          <w:p>
            <w:pPr>
              <w:jc w:val="center"/>
              <w:ind w:right="359"/>
              <w:spacing w:after="0" w:line="135"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88"/>
        </w:trPr>
        <w:tc>
          <w:tcPr>
            <w:tcW w:w="7080" w:type="dxa"/>
            <w:vAlign w:val="bottom"/>
            <w:gridSpan w:val="2"/>
            <w:vMerge w:val="continue"/>
          </w:tcPr>
          <w:p>
            <w:pPr>
              <w:spacing w:after="0"/>
              <w:rPr>
                <w:sz w:val="16"/>
                <w:szCs w:val="16"/>
                <w:color w:val="auto"/>
              </w:rPr>
            </w:pPr>
          </w:p>
        </w:tc>
        <w:tc>
          <w:tcPr>
            <w:tcW w:w="25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(a)</w:t>
            </w:r>
          </w:p>
        </w:tc>
        <w:tc>
          <w:tcPr>
            <w:tcW w:w="1540" w:type="dxa"/>
            <w:vAlign w:val="bottom"/>
          </w:tcPr>
          <w:p>
            <w:pPr>
              <w:jc w:val="center"/>
              <w:ind w:right="35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24"/>
        </w:trPr>
        <w:tc>
          <w:tcPr>
            <w:tcW w:w="6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245,681</w:t>
            </w:r>
          </w:p>
        </w:tc>
        <w:tc>
          <w:tcPr>
            <w:tcW w:w="0" w:type="dxa"/>
            <w:vAlign w:val="bottom"/>
          </w:tcPr>
          <w:p>
            <w:pPr>
              <w:spacing w:after="0"/>
              <w:rPr>
                <w:sz w:val="1"/>
                <w:szCs w:val="1"/>
                <w:color w:val="auto"/>
              </w:rPr>
            </w:pPr>
          </w:p>
        </w:tc>
      </w:tr>
      <w:tr>
        <w:trPr>
          <w:trHeight w:val="229"/>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200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51,964</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200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111,980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140" w:firstLine="8"/>
        <w:spacing w:after="0" w:line="257" w:lineRule="auto"/>
        <w:tabs>
          <w:tab w:leader="none" w:pos="309" w:val="left"/>
        </w:tabs>
        <w:numPr>
          <w:ilvl w:val="0"/>
          <w:numId w:val="68"/>
        </w:numPr>
        <w:rPr>
          <w:rFonts w:ascii="Arial" w:cs="Arial" w:eastAsia="Arial" w:hAnsi="Arial"/>
          <w:sz w:val="14"/>
          <w:szCs w:val="14"/>
          <w:color w:val="auto"/>
        </w:rPr>
      </w:pPr>
      <w:r>
        <w:rPr>
          <w:rFonts w:ascii="Arial" w:cs="Arial" w:eastAsia="Arial" w:hAnsi="Arial"/>
          <w:sz w:val="14"/>
          <w:szCs w:val="14"/>
          <w:color w:val="auto"/>
        </w:rPr>
        <w:t>Values in column (b) reflect shares that vested as of February 22, 2020 at a market value of $27.67 per share, except for Mr. Casey's, which vested as of March 8, 2020 at a market value of $20.09 per share. Shares vested for Mr. Casey represent performance-based restricted stock and shares vested for Messrs. Forbes and Gomez and Ms. Gerron represent time-vested restricted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Set forth below is a summary of the compensation and benefits payable to Messrs. Casey, Forbes, Gomez and Paddon and Ms. Gerron in the event their employment is terminated. For purposes of this disclosure, we have calculated benefits assuming a December 31, 2020 termination date. As of December 31, 2020, executive employment agreements were in effect with Mr. Casey. For further information on the employment agreements, see "Employment and Related Agreements" above.</w:t>
      </w:r>
    </w:p>
    <w:p>
      <w:pPr>
        <w:spacing w:after="0" w:line="7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Under the terms of our Stock Incentive Plan, in the event of their death or a "change in control" of the Company, unvested time-vested restricted stock awards would vest for Messrs. Forbes and Gomez and Ms. Gerron. These shares had a value of $134,894 for Mr. Forbes, $252,518 for Mr. Gomez and $194,402 for Ms. Gerron as of December 31, 2020. Other than the terms of Mr. Forbes's employee confidentiality and non-compete agreement and Mr. Gomez's severance benefit agreement discussed in "Employment and Related Agreements" above and the acceleration of restricted stock awards for Messrs. Forbes, Gomez and Paddon and Ms. Gerron upon death or a "change in control," they are not contractually entitled to any other severance payments upon their termination or a "change in control" of the Company.</w:t>
      </w:r>
    </w:p>
    <w:p>
      <w:pPr>
        <w:spacing w:after="0" w:line="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the employment agreement in place, payments to Mr. Casey could vary depending on the cause of termination and whether or not the Board of Directors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117" w:lineRule="exact"/>
        <w:rPr>
          <w:rFonts w:ascii="Arial" w:cs="Arial" w:eastAsia="Arial" w:hAnsi="Arial"/>
          <w:sz w:val="18"/>
          <w:szCs w:val="18"/>
          <w:color w:val="auto"/>
        </w:rPr>
      </w:pPr>
    </w:p>
    <w:p>
      <w:pPr>
        <w:ind w:left="660" w:right="80" w:hanging="328"/>
        <w:spacing w:after="0" w:line="290"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5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02" w:right="3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7" w:lineRule="exact"/>
        <w:rPr>
          <w:rFonts w:ascii="Arial" w:cs="Arial" w:eastAsia="Arial" w:hAnsi="Arial"/>
          <w:sz w:val="18"/>
          <w:szCs w:val="18"/>
          <w:color w:val="auto"/>
        </w:rPr>
      </w:pPr>
    </w:p>
    <w:p>
      <w:pPr>
        <w:ind w:left="420" w:right="3060" w:hanging="88"/>
        <w:spacing w:after="0" w:line="483" w:lineRule="auto"/>
        <w:tabs>
          <w:tab w:leader="none" w:pos="658" w:val="left"/>
        </w:tabs>
        <w:numPr>
          <w:ilvl w:val="0"/>
          <w:numId w:val="71"/>
        </w:numPr>
        <w:rPr>
          <w:rFonts w:ascii="Arial" w:cs="Arial" w:eastAsia="Arial" w:hAnsi="Arial"/>
          <w:sz w:val="16"/>
          <w:szCs w:val="16"/>
          <w:color w:val="auto"/>
        </w:rPr>
      </w:pPr>
      <w:r>
        <w:rPr>
          <w:rFonts w:ascii="Arial" w:cs="Arial" w:eastAsia="Arial" w:hAnsi="Arial"/>
          <w:sz w:val="16"/>
          <w:szCs w:val="16"/>
          <w:color w:val="auto"/>
        </w:rPr>
        <w:t>medical benefits for the executive and his eligible dependents for twelve months following termination. All unvested stock options and all unvested restricted shares shall be forfeited under this scenario.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7" w:lineRule="exact"/>
        <w:rPr>
          <w:rFonts w:ascii="Arial" w:cs="Arial" w:eastAsia="Arial" w:hAnsi="Arial"/>
          <w:sz w:val="18"/>
          <w:szCs w:val="18"/>
          <w:color w:val="auto"/>
        </w:rPr>
      </w:pPr>
    </w:p>
    <w:p>
      <w:pPr>
        <w:ind w:left="660" w:right="20" w:hanging="328"/>
        <w:spacing w:after="0" w:line="285" w:lineRule="auto"/>
        <w:tabs>
          <w:tab w:leader="none" w:pos="6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2018,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w:t>
      </w:r>
    </w:p>
    <w:p>
      <w:pPr>
        <w:spacing w:after="0" w:line="1" w:lineRule="exact"/>
        <w:rPr>
          <w:rFonts w:ascii="Arial" w:cs="Arial" w:eastAsia="Arial" w:hAnsi="Arial"/>
          <w:sz w:val="16"/>
          <w:szCs w:val="16"/>
          <w:color w:val="auto"/>
        </w:rPr>
      </w:pPr>
    </w:p>
    <w:p>
      <w:pPr>
        <w:ind w:left="660" w:hanging="4"/>
        <w:spacing w:after="0" w:line="260" w:lineRule="auto"/>
        <w:tabs>
          <w:tab w:leader="none" w:pos="91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change in control occurs after the end of the performance cycle, all Category 1 Shares and Category 2 Shares will fully vest to the extent then earned based on the Company's actual performance for the performance cycle.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ectPr>
          <w:pgSz w:w="11900" w:h="16838" w:orient="portrait"/>
          <w:cols w:equalWidth="0" w:num="1">
            <w:col w:w="11160"/>
          </w:cols>
          <w:pgMar w:left="320" w:top="557" w:right="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60"/>
          </w:cols>
          <w:pgMar w:left="320" w:top="557" w:right="419" w:bottom="1440" w:gutter="0" w:footer="0" w:header="0"/>
          <w:type w:val="continuous"/>
        </w:sectPr>
      </w:pPr>
    </w:p>
    <w:bookmarkStart w:id="40" w:name="page41"/>
    <w:bookmarkEnd w:id="40"/>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amounts that Mr. Casey would receive under different severance and change in control scenarios: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For cause, voluntary</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Without cause,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Terminated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termination without</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for good reason</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due to</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Benefits/payments upon termination</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good reason or non-renewal by the</w:t>
            </w: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or non-renewal</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1"/>
                <w:szCs w:val="11"/>
                <w:color w:val="auto"/>
              </w:rPr>
            </w:pPr>
          </w:p>
        </w:tc>
        <w:tc>
          <w:tcPr>
            <w:tcW w:w="8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Death</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88"/>
        </w:trPr>
        <w:tc>
          <w:tcPr>
            <w:tcW w:w="3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87"/>
              </w:rPr>
              <w:t>executive</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in control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Arial" w:cs="Arial" w:eastAsia="Arial" w:hAnsi="Arial"/>
                <w:sz w:val="18"/>
                <w:szCs w:val="18"/>
                <w:color w:val="auto"/>
              </w:rPr>
              <w:t>Non-compete enforced?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400"/>
              <w:spacing w:after="0"/>
              <w:rPr>
                <w:sz w:val="20"/>
                <w:szCs w:val="20"/>
                <w:color w:val="auto"/>
              </w:rPr>
            </w:pPr>
            <w:r>
              <w:rPr>
                <w:rFonts w:ascii="Arial" w:cs="Arial" w:eastAsia="Arial" w:hAnsi="Arial"/>
                <w:sz w:val="14"/>
                <w:szCs w:val="14"/>
                <w:color w:val="auto"/>
              </w:rPr>
              <w:t>Y</w:t>
            </w:r>
          </w:p>
        </w:tc>
        <w:tc>
          <w:tcPr>
            <w:tcW w:w="36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N</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rPr>
              <w:t>Y</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rPr>
              <w:t>Y</w:t>
            </w:r>
          </w:p>
        </w:tc>
        <w:tc>
          <w:tcPr>
            <w:tcW w:w="24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9"/>
                <w:szCs w:val="19"/>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gridSpan w:val="2"/>
            <w:shd w:val="clear" w:color="auto" w:fill="CCEEFF"/>
          </w:tcPr>
          <w:p>
            <w:pPr>
              <w:ind w:left="180"/>
              <w:spacing w:after="0" w:line="223" w:lineRule="exact"/>
              <w:rPr>
                <w:sz w:val="20"/>
                <w:szCs w:val="20"/>
                <w:color w:val="auto"/>
              </w:rPr>
            </w:pPr>
            <w:r>
              <w:rPr>
                <w:rFonts w:ascii="Arial" w:cs="Arial" w:eastAsia="Arial" w:hAnsi="Arial"/>
                <w:sz w:val="18"/>
                <w:szCs w:val="18"/>
                <w:color w:val="auto"/>
              </w:rPr>
              <w:t>Base salary for an additional period</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729,663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Annual bonus for an additional period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Performance shares</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177,316</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Medical benefits</w:t>
            </w:r>
            <w:r>
              <w:rPr>
                <w:rFonts w:ascii="Arial" w:cs="Arial" w:eastAsia="Arial" w:hAnsi="Arial"/>
                <w:sz w:val="23"/>
                <w:szCs w:val="23"/>
                <w:color w:val="auto"/>
                <w:vertAlign w:val="superscript"/>
              </w:rPr>
              <w:t>(4)</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20,337</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197,653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14" w:lineRule="exact"/>
        <w:rPr>
          <w:sz w:val="20"/>
          <w:szCs w:val="20"/>
          <w:color w:val="auto"/>
        </w:rPr>
      </w:pPr>
    </w:p>
    <w:p>
      <w:pPr>
        <w:ind w:left="660" w:hanging="652"/>
        <w:spacing w:after="0" w:line="266" w:lineRule="auto"/>
        <w:tabs>
          <w:tab w:leader="none" w:pos="316" w:val="left"/>
        </w:tabs>
        <w:numPr>
          <w:ilvl w:val="0"/>
          <w:numId w:val="76"/>
        </w:numPr>
        <w:rPr>
          <w:rFonts w:ascii="Arial" w:cs="Arial" w:eastAsia="Arial" w:hAnsi="Arial"/>
          <w:sz w:val="13"/>
          <w:szCs w:val="13"/>
          <w:color w:val="auto"/>
        </w:rPr>
      </w:pPr>
      <w:r>
        <w:rPr>
          <w:rFonts w:ascii="Arial" w:cs="Arial" w:eastAsia="Arial" w:hAnsi="Arial"/>
          <w:sz w:val="13"/>
          <w:szCs w:val="13"/>
          <w:color w:val="auto"/>
        </w:rPr>
        <w:t>Amounts reflect one year’s base salary, less the amount of medical insurance premiums Mr. Casey would have paid had he remained employed with the Company, for termination for cause, voluntary termination without good reason or non-renewal by Mr. Casey. Amounts reflect 1.5 times Mr. Casey's annual base salary, less the amount of medical insurance premiums Mr. Casey would have paid had he remained employed with the Company, for termination without cause, for good reason or non-renewal by the Company. Amounts reflect 2 times Mr.</w:t>
      </w:r>
    </w:p>
    <w:p>
      <w:pPr>
        <w:ind w:left="660" w:right="40"/>
        <w:spacing w:after="0" w:line="255" w:lineRule="auto"/>
        <w:rPr>
          <w:rFonts w:ascii="Arial" w:cs="Arial" w:eastAsia="Arial" w:hAnsi="Arial"/>
          <w:sz w:val="13"/>
          <w:szCs w:val="13"/>
          <w:color w:val="auto"/>
        </w:rPr>
      </w:pPr>
      <w:r>
        <w:rPr>
          <w:rFonts w:ascii="Arial" w:cs="Arial" w:eastAsia="Arial" w:hAnsi="Arial"/>
          <w:sz w:val="14"/>
          <w:szCs w:val="14"/>
          <w:color w:val="auto"/>
        </w:rPr>
        <w:t>Casey's annual base salary, less the amount of medical insurance premiums Mr. Casey would have paid had he remained employed with the Company, for termination due to change in control.</w:t>
      </w:r>
    </w:p>
    <w:p>
      <w:pPr>
        <w:spacing w:after="0" w:line="77" w:lineRule="exact"/>
        <w:rPr>
          <w:rFonts w:ascii="Arial" w:cs="Arial" w:eastAsia="Arial" w:hAnsi="Arial"/>
          <w:sz w:val="13"/>
          <w:szCs w:val="13"/>
          <w:color w:val="auto"/>
        </w:rPr>
      </w:pPr>
    </w:p>
    <w:p>
      <w:pPr>
        <w:ind w:left="660" w:right="300" w:hanging="652"/>
        <w:spacing w:after="0" w:line="273" w:lineRule="auto"/>
        <w:tabs>
          <w:tab w:leader="none" w:pos="316"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spacing w:after="0" w:line="65" w:lineRule="exact"/>
        <w:rPr>
          <w:rFonts w:ascii="Arial" w:cs="Arial" w:eastAsia="Arial" w:hAnsi="Arial"/>
          <w:sz w:val="14"/>
          <w:szCs w:val="14"/>
          <w:color w:val="auto"/>
        </w:rPr>
      </w:pPr>
    </w:p>
    <w:p>
      <w:pPr>
        <w:ind w:left="660" w:right="20" w:hanging="652"/>
        <w:spacing w:after="0" w:line="257" w:lineRule="auto"/>
        <w:tabs>
          <w:tab w:leader="none" w:pos="316"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reflect the estimated value of the acceleration of Mr. Casey’s outstanding performance-based restricted stock awards (12,229 shares, which are equal to the number of outstanding performance-based restricted stock shares that are reported in the "Outstanding Equity Awards at December 31, 2020" table), using our closing stock price of $14.50 per share as of the last day of business in 2020.</w:t>
      </w:r>
    </w:p>
    <w:p>
      <w:pPr>
        <w:spacing w:after="0" w:line="76" w:lineRule="exact"/>
        <w:rPr>
          <w:rFonts w:ascii="Arial" w:cs="Arial" w:eastAsia="Arial" w:hAnsi="Arial"/>
          <w:sz w:val="14"/>
          <w:szCs w:val="14"/>
          <w:color w:val="auto"/>
        </w:rPr>
      </w:pPr>
    </w:p>
    <w:p>
      <w:pPr>
        <w:ind w:left="660" w:right="160" w:hanging="652"/>
        <w:spacing w:after="0" w:line="257" w:lineRule="auto"/>
        <w:tabs>
          <w:tab w:leader="none" w:pos="316"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Mr. Casey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amounts shown in the preceding table do not include payments and benefits to the extent they are paid to all employees upon termination of employment, including:</w:t>
      </w:r>
    </w:p>
    <w:p>
      <w:pPr>
        <w:spacing w:after="0" w:line="62"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paid under other benefit plans, including our family and medical leave of absence and long-term disability programs.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7" w:lineRule="exact"/>
        <w:rPr>
          <w:sz w:val="20"/>
          <w:szCs w:val="20"/>
          <w:color w:val="auto"/>
        </w:rPr>
      </w:pPr>
    </w:p>
    <w:p>
      <w:pPr>
        <w:jc w:val="both"/>
        <w:ind w:left="660" w:right="240" w:hanging="328"/>
        <w:spacing w:after="0" w:line="286"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62" w:lineRule="exact"/>
        <w:rPr>
          <w:rFonts w:ascii="Arial" w:cs="Arial" w:eastAsia="Arial" w:hAnsi="Arial"/>
          <w:sz w:val="18"/>
          <w:szCs w:val="18"/>
          <w:color w:val="auto"/>
        </w:rPr>
      </w:pPr>
    </w:p>
    <w:p>
      <w:pPr>
        <w:jc w:val="both"/>
        <w:ind w:left="660" w:right="60" w:hanging="328"/>
        <w:spacing w:after="0" w:line="259"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 commencing on or after January 1, 2005, individuals who, at the beginning of the period constituted the Company’s Board of Directors, cease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57" w:right="339" w:bottom="1440" w:gutter="0" w:footer="0" w:header="0"/>
        </w:sectPr>
      </w:pPr>
    </w:p>
    <w:bookmarkStart w:id="41" w:name="page42"/>
    <w:bookmarkEnd w:id="41"/>
    <w:p>
      <w:pPr>
        <w:ind w:left="660" w:right="80"/>
        <w:spacing w:after="0" w:line="285" w:lineRule="auto"/>
        <w:rPr>
          <w:sz w:val="20"/>
          <w:szCs w:val="20"/>
          <w:color w:val="auto"/>
        </w:rPr>
      </w:pPr>
      <w:r>
        <w:rPr>
          <w:rFonts w:ascii="Arial" w:cs="Arial" w:eastAsia="Arial" w:hAnsi="Arial"/>
          <w:sz w:val="16"/>
          <w:szCs w:val="16"/>
          <w:color w:val="auto"/>
        </w:rPr>
        <w:t>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w:t>
      </w:r>
    </w:p>
    <w:p>
      <w:pPr>
        <w:spacing w:after="0" w:line="2" w:lineRule="exact"/>
        <w:rPr>
          <w:sz w:val="20"/>
          <w:szCs w:val="20"/>
          <w:color w:val="auto"/>
        </w:rPr>
      </w:pPr>
    </w:p>
    <w:p>
      <w:pPr>
        <w:ind w:left="660" w:right="40" w:hanging="4"/>
        <w:spacing w:after="0" w:line="260" w:lineRule="auto"/>
        <w:tabs>
          <w:tab w:leader="none" w:pos="9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one or more of the "executive officers" of the Company that held such positions prior to the transaction or series of transactions, or any entity, person or group under their control.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 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11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wrongful misappropriation by the executive of any money, assets, or other property of the Company or of a client of the Company;</w:t>
      </w:r>
    </w:p>
    <w:p>
      <w:pPr>
        <w:spacing w:after="0" w:line="117" w:lineRule="exact"/>
        <w:rPr>
          <w:rFonts w:ascii="Arial" w:cs="Arial" w:eastAsia="Arial" w:hAnsi="Arial"/>
          <w:sz w:val="18"/>
          <w:szCs w:val="18"/>
          <w:color w:val="auto"/>
        </w:rPr>
      </w:pPr>
    </w:p>
    <w:p>
      <w:pPr>
        <w:ind w:left="660" w:right="240" w:hanging="328"/>
        <w:spacing w:after="0" w:line="311" w:lineRule="auto"/>
        <w:tabs>
          <w:tab w:leader="none" w:pos="6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1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17"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78"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62"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requiring the executive to be principally based at any office or location more than 40 miles from the current offices of the Company in Dallas, Texas.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7" w:lineRule="exact"/>
        <w:rPr>
          <w:sz w:val="20"/>
          <w:szCs w:val="20"/>
          <w:color w:val="auto"/>
        </w:rPr>
      </w:pPr>
    </w:p>
    <w:p>
      <w:pPr>
        <w:ind w:left="660" w:right="160" w:hanging="328"/>
        <w:spacing w:after="0" w:line="25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 (A) any entity that owns, directly or indirectly, the stock of the Company, (B) any entity with which the Company has merged, or (C) any entity that owns an entity with which the Company has merged;</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transfer of all or substantially all of the assets of the Company in one or more related transactions to one or more other persons or entities;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557" w:right="399" w:bottom="1440" w:gutter="0" w:footer="0" w:header="0"/>
        </w:sectPr>
      </w:pPr>
    </w:p>
    <w:bookmarkStart w:id="42" w:name="page43"/>
    <w:bookmarkEnd w:id="42"/>
    <w:p>
      <w:pPr>
        <w:ind w:left="660" w:right="540" w:hanging="328"/>
        <w:spacing w:after="0" w:line="34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15" w:lineRule="exact"/>
        <w:rPr>
          <w:rFonts w:ascii="Arial" w:cs="Arial" w:eastAsia="Arial" w:hAnsi="Arial"/>
          <w:sz w:val="16"/>
          <w:szCs w:val="16"/>
          <w:color w:val="auto"/>
        </w:rPr>
      </w:pPr>
    </w:p>
    <w:p>
      <w:pPr>
        <w:ind w:left="660" w:hanging="328"/>
        <w:spacing w:after="0" w:line="271"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during any period of two consecutive years commencing on or after January 1, 2016 (in the case of Mr. Casey),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Audit Committee has appointed Deloitte as our independent auditors for 2021. Representatives of Deloitte will attend the annual meeting to answer questions and may make a statement if they so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w:t>
      </w:r>
    </w:p>
    <w:p>
      <w:pPr>
        <w:spacing w:after="0" w:line="121"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Deloitte has served as independent auditor for the Company since 2015. In addition to performing the audit of the Company's consolidated financial statements, Deloitte also provides various other services to the Company and to common trust funds sponsored by Westwood Trust. The following table presents aggregate fees billed to the Company and the common trust funds in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575,725</w:t>
            </w:r>
          </w:p>
        </w:tc>
      </w:tr>
      <w:tr>
        <w:trPr>
          <w:trHeight w:val="229"/>
        </w:trPr>
        <w:tc>
          <w:tcPr>
            <w:tcW w:w="8240" w:type="dxa"/>
            <w:vAlign w:val="bottom"/>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320,000</w:t>
            </w: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456,476</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1,352,201</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380" w:hanging="562"/>
        <w:spacing w:after="0" w:line="257" w:lineRule="auto"/>
        <w:tabs>
          <w:tab w:leader="none" w:pos="1125"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spacing w:after="0" w:line="36" w:lineRule="exact"/>
        <w:rPr>
          <w:rFonts w:ascii="Arial" w:cs="Arial" w:eastAsia="Arial" w:hAnsi="Arial"/>
          <w:sz w:val="14"/>
          <w:szCs w:val="14"/>
          <w:color w:val="auto"/>
        </w:rPr>
      </w:pPr>
    </w:p>
    <w:p>
      <w:pPr>
        <w:ind w:left="1380" w:right="180" w:hanging="562"/>
        <w:spacing w:after="0" w:line="273" w:lineRule="auto"/>
        <w:tabs>
          <w:tab w:leader="none" w:pos="1125"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the aggregate fees billed for financial audit services to common trust funds sponsored by Westwood Trust. These fees are not paid by Westwood but are paid by the common trust funds.</w:t>
      </w:r>
    </w:p>
    <w:p>
      <w:pPr>
        <w:spacing w:after="0" w:line="25" w:lineRule="exact"/>
        <w:rPr>
          <w:rFonts w:ascii="Arial" w:cs="Arial" w:eastAsia="Arial" w:hAnsi="Arial"/>
          <w:sz w:val="14"/>
          <w:szCs w:val="14"/>
          <w:color w:val="auto"/>
        </w:rPr>
      </w:pPr>
    </w:p>
    <w:p>
      <w:pPr>
        <w:ind w:left="1120" w:hanging="302"/>
        <w:spacing w:after="0"/>
        <w:tabs>
          <w:tab w:leader="none" w:pos="1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the aggregate fees billed for tax services provided to the common trust funds. These fees were partly paid by the common trust funds.</w:t>
      </w:r>
    </w:p>
    <w:p>
      <w:pPr>
        <w:spacing w:after="0" w:line="11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i w:val="1"/>
          <w:iCs w:val="1"/>
          <w:color w:val="auto"/>
        </w:rPr>
        <w:t xml:space="preserve">Pre-approval policies and procedures for audit and non-audit services. </w:t>
      </w:r>
      <w:r>
        <w:rPr>
          <w:rFonts w:ascii="Arial" w:cs="Arial" w:eastAsia="Arial" w:hAnsi="Arial"/>
          <w:sz w:val="16"/>
          <w:szCs w:val="16"/>
          <w:color w:val="auto"/>
        </w:rPr>
        <w:t>The Audit Committee has established a policy regarding pre-approval of all</w:t>
      </w:r>
      <w:r>
        <w:rPr>
          <w:rFonts w:ascii="Arial" w:cs="Arial" w:eastAsia="Arial" w:hAnsi="Arial"/>
          <w:sz w:val="16"/>
          <w:szCs w:val="16"/>
          <w:i w:val="1"/>
          <w:iCs w:val="1"/>
          <w:color w:val="auto"/>
        </w:rPr>
        <w:t xml:space="preserve"> </w:t>
      </w:r>
      <w:r>
        <w:rPr>
          <w:rFonts w:ascii="Arial" w:cs="Arial" w:eastAsia="Arial" w:hAnsi="Arial"/>
          <w:sz w:val="16"/>
          <w:szCs w:val="16"/>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5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Audit Committee or the chairperson acting on its behalf pre-approved all services provided by Deloitte for the years ended December 31, 2020 and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2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Although stockholder action on this matter is not required, the appointment of Deloitte is being recommended to the stockholders for ratification. The affirmative "FOR" vote of a majority of the votes cast at the annual meeting will serve to ratify the appointment of Deloitte as independent auditors for 2021. Abstentions will not affect the outcome of a vote on this proposal.</w:t>
      </w:r>
    </w:p>
    <w:p>
      <w:pPr>
        <w:spacing w:after="0" w:line="72" w:lineRule="exact"/>
        <w:rPr>
          <w:sz w:val="20"/>
          <w:szCs w:val="20"/>
          <w:color w:val="auto"/>
        </w:rPr>
      </w:pPr>
    </w:p>
    <w:p>
      <w:pPr>
        <w:jc w:val="center"/>
        <w:ind w:left="340" w:right="300"/>
        <w:spacing w:after="0" w:line="28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AS OUR INDEPENDENT AUDITORS FOR 2021.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45"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Eighth Amended and Restated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2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The Compensation Committee and the Board of Directors of Westwood have approved and have proposed that our shareholders approve the Eighth Amended and Restated Westwood Holdings Group, Inc. Stock Incentive Plan (the "Plan") at the annual meeting. Westwood originally adopted the Plan on February 1, 2002. On April 29, 2020, our stockholders approved the Seventh Amended and Restated Plan (effective as of March 8, 2019) (the "Prior Plan"), with a reserve of 5,398,100 shares of common stock. The plan amends the Prior Plan to increase the maximum number of shares available for issuance by 250,000 shares to 5,648,100 shares.</w:t>
      </w:r>
    </w:p>
    <w:p>
      <w:pPr>
        <w:spacing w:after="0" w:line="8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6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Awards under the Plan are a major component of our long-term incentive program for our employees, consultants and members of our Board. As noted in the "Compensation Discussion and Analysis," we recognize that having an ownership interest in the Company is critical to aligning the financial interests of our employees and shareholders. The Compensation Committee believes it is important to authorize an additional 250,000 shares for grant under the Plan. As of March 2, 2021, approximately 4,857,779 shares had been issued under the Plan, leaving 540,321 shares available under the Plan for issuance. The Compensation Committee does not believe that this amount is sufficient to meet the Company's anticipated grants of awards through the date of our 2022 Annual Meeting of Shareholders. If shareholders do not approve the Plan, it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2020, 2019 and 2018, the number of shares of common stock underlying equity awards granted was approximately 260,000, 220,000 and 245,000, respectively. The Compensation Committee expects to continue to grant awards under the Plan consistent with the Company's historical share utilization rates.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Description of the Eighth Amended and Restated Plan</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 xml:space="preserve">A summary of the material features of the Plan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62"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i w:val="1"/>
          <w:iCs w:val="1"/>
          <w:color w:val="auto"/>
        </w:rPr>
        <w:t>Key Features of the Plan</w:t>
      </w:r>
      <w:r>
        <w:rPr>
          <w:rFonts w:ascii="Arial" w:cs="Arial" w:eastAsia="Arial" w:hAnsi="Arial"/>
          <w:sz w:val="16"/>
          <w:szCs w:val="16"/>
          <w:color w:val="auto"/>
        </w:rPr>
        <w:t>. Awards under the Plan will consist of cash or Westwood's authorized common stock. The fair market value of Westwood's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as of March 2, 2021 was $17.37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consultants or advisors. There are currently 136 employees of Westwood who may be eligible to receive awards under the Plan, and there are five non-employee directors who may be eligible to receive awards under the Plan. The total number of shares of common stock available for delivery pursuant to awards under the Plan over its entire term is 5,648,100 plus any shares of common stock that are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 be available for issuance under the Plan. Subject to adjustment, no more than 316,033 shares of common stock may be covered by stock-based awards granted to any participant under the Plan in a calendar year.</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17"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Plan authorizes the grant of several types of stock-based awards, including, without limitation,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("ISOs"), 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NSOs and restricted stock.</w:t>
      </w:r>
    </w:p>
    <w:p>
      <w:pPr>
        <w:spacing w:after="0" w:line="84"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769" w:right="359" w:bottom="1440" w:gutter="0" w:footer="0" w:header="0"/>
        </w:sectPr>
      </w:pPr>
    </w:p>
    <w:bookmarkStart w:id="45" w:name="page46"/>
    <w:bookmarkEnd w:id="45"/>
    <w:p>
      <w:pPr>
        <w:ind w:right="100" w:firstLine="445"/>
        <w:spacing w:after="0" w:line="277"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grant.</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76"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Unless our Board of Directors determines otherwise, the Plan will be administered by the Compensation Committee, whose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determinations will be final and binding on any interested person. Such determinations include selecting participants, determining the awards that will be made under the Plan, interpreting plan provisions, and deciding the terms and conditions of any award.</w:t>
      </w:r>
    </w:p>
    <w:p>
      <w:pPr>
        <w:spacing w:after="0" w:line="76"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76"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7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consultant or non-employee director of Westwood or any of its parents or subsidiaries will be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be selected as a participant and receive an award under the Plan by the Compensation Committee, acting in its discretion. However, ISOs will be granted only to participants who are employees of Westwood or a subsidiary thereof.</w:t>
      </w:r>
    </w:p>
    <w:p>
      <w:pPr>
        <w:spacing w:after="0" w:line="7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ten (10) days prior to the date of the change in control.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ISOs and NSOs are both stock options allowing the recipient to purchase a fixed number of shares of common stock at a fixed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73"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63"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The Compensation Committee may also make awards of restricted shares of our stock. The vesting of restricted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Compensation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58"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also make awards of SAR, which allow the recipient to exercise all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SAR to receive from the Company an amount equal to the product of (i) the excess of (A) the fair market value of the shares of our stock on the date the SAR is exercised over (B) the grant price of the SAR and (ii)</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881" w:right="379" w:bottom="1440" w:gutter="0" w:footer="0" w:header="0"/>
        </w:sectPr>
      </w:pPr>
    </w:p>
    <w:bookmarkStart w:id="46" w:name="page47"/>
    <w:bookmarkEnd w:id="46"/>
    <w:p>
      <w:pPr>
        <w:ind w:right="220"/>
        <w:spacing w:after="0" w:line="308" w:lineRule="auto"/>
        <w:rPr>
          <w:sz w:val="20"/>
          <w:szCs w:val="20"/>
          <w:color w:val="auto"/>
        </w:rPr>
      </w:pPr>
      <w:r>
        <w:rPr>
          <w:rFonts w:ascii="Arial" w:cs="Arial" w:eastAsia="Arial" w:hAnsi="Arial"/>
          <w:sz w:val="17"/>
          <w:szCs w:val="17"/>
          <w:color w:val="auto"/>
        </w:rPr>
        <w:t>the number of shares of our stock with respect to which the SAR was exercised. Payment will be in cash, shares of our stock or a combination thereof, as determined by the Compensation Committee. Dividends and dividend equivalents will not be payable with respect to SARs.</w:t>
      </w:r>
    </w:p>
    <w:p>
      <w:pPr>
        <w:spacing w:after="0" w:line="38"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The Compensation Committee may also make awards of RSUs. The settlement of RSUs may be satisfied by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stock, cash in an amount equal to the fair market value of the specified number of shares of our stock or a combination thereof, as determined by the Compensation Committee. Dividends and dividend equivalents will not be payable with respect to RSUs, however the Compensation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6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may also make awards that may be denominated or payable in, valued in whole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or otherwise based on, or related to, shares of our stock, including without limitation purchase rights for shares of our stock, awards with value and payment contingent upon performance of the Company or any other factors designated by the Compensation Committee, and awards valued by reference to the book value of a share of our stock.</w:t>
      </w:r>
    </w:p>
    <w:p>
      <w:pPr>
        <w:spacing w:after="0" w:line="79"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i w:val="1"/>
          <w:iCs w:val="1"/>
          <w:color w:val="auto"/>
        </w:rPr>
        <w:t xml:space="preserve">Awards to Non-Employee Directors. </w:t>
      </w:r>
      <w:r>
        <w:rPr>
          <w:rFonts w:ascii="Arial" w:cs="Arial" w:eastAsia="Arial" w:hAnsi="Arial"/>
          <w:sz w:val="16"/>
          <w:szCs w:val="16"/>
          <w:color w:val="auto"/>
        </w:rPr>
        <w:t>Non-employee directors are eligible to receive any type of award under the Plan other than ISOs. The grant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41"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i w:val="1"/>
          <w:iCs w:val="1"/>
          <w:color w:val="auto"/>
        </w:rPr>
        <w:t>Annual Incentive Awards</w:t>
      </w:r>
      <w:r>
        <w:rPr>
          <w:rFonts w:ascii="Arial" w:cs="Arial" w:eastAsia="Arial" w:hAnsi="Arial"/>
          <w:sz w:val="16"/>
          <w:szCs w:val="16"/>
          <w:color w:val="auto"/>
        </w:rPr>
        <w:t>. The Compensation Committee may also grant annual incentive awards of stock, cash or any combination of stock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to 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proposed annual incentive award payable to any participating employee during a year.</w:t>
      </w:r>
    </w:p>
    <w:p>
      <w:pPr>
        <w:spacing w:after="0" w:line="49"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The Plan allows the Compensation Committee to grant awards the vesting, exercise or settlement of which is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Compensation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74"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i w:val="1"/>
          <w:iCs w:val="1"/>
          <w:color w:val="auto"/>
        </w:rPr>
        <w:t>Discretionary Bonus Awards</w:t>
      </w:r>
      <w:r>
        <w:rPr>
          <w:rFonts w:ascii="Arial" w:cs="Arial" w:eastAsia="Arial" w:hAnsi="Arial"/>
          <w:sz w:val="16"/>
          <w:szCs w:val="16"/>
          <w:color w:val="auto"/>
        </w:rPr>
        <w:t>. The Compensation Committee may also grant discretionary bonus awards of stock, cash or any combination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to our officers and key employees in such amounts and subject to such terms and conditions as the Compensation Committee may determine.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881" w:right="339" w:bottom="1440" w:gutter="0" w:footer="0" w:header="0"/>
        </w:sectPr>
      </w:pPr>
    </w:p>
    <w:bookmarkStart w:id="47" w:name="page48"/>
    <w:bookmarkEnd w:id="47"/>
    <w:p>
      <w:pPr>
        <w:ind w:right="40" w:firstLine="445"/>
        <w:spacing w:after="0" w:line="28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generally not recognize any taxable income upon either the grant or exercise of an ISO. However,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w:t>
      </w:r>
    </w:p>
    <w:p>
      <w:pPr>
        <w:spacing w:after="0" w:line="4" w:lineRule="exact"/>
        <w:rPr>
          <w:sz w:val="20"/>
          <w:szCs w:val="20"/>
          <w:color w:val="auto"/>
        </w:rPr>
      </w:pPr>
    </w:p>
    <w:p>
      <w:pPr>
        <w:ind w:right="20" w:firstLine="8"/>
        <w:spacing w:after="0" w:line="271" w:lineRule="auto"/>
        <w:tabs>
          <w:tab w:leader="none" w:pos="26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treated as a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0"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76"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i w:val="1"/>
          <w:iCs w:val="1"/>
          <w:color w:val="auto"/>
        </w:rPr>
        <w:t xml:space="preserve">Annual Incentive Awards, Performance-Based Awards and Discretionary Bonus Awards. </w:t>
      </w:r>
      <w:r>
        <w:rPr>
          <w:rFonts w:ascii="Arial" w:cs="Arial" w:eastAsia="Arial" w:hAnsi="Arial"/>
          <w:sz w:val="16"/>
          <w:szCs w:val="16"/>
          <w:color w:val="auto"/>
        </w:rPr>
        <w:t>In general, a participant who receives cash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made under the Plan will recognize ordinary income equal to the amount of cash that is received. Except as discussed below in the section entitled </w:t>
      </w:r>
      <w:r>
        <w:rPr>
          <w:rFonts w:ascii="Arial" w:cs="Arial" w:eastAsia="Arial" w:hAnsi="Arial"/>
          <w:sz w:val="16"/>
          <w:szCs w:val="16"/>
          <w:i w:val="1"/>
          <w:iCs w:val="1"/>
          <w:color w:val="auto"/>
        </w:rPr>
        <w:t>"Common Stock Subject to a Substantial Risk of Forfeiture,"</w:t>
      </w:r>
      <w:r>
        <w:rPr>
          <w:rFonts w:ascii="Arial" w:cs="Arial" w:eastAsia="Arial" w:hAnsi="Arial"/>
          <w:sz w:val="16"/>
          <w:szCs w:val="16"/>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49"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i w:val="1"/>
          <w:iCs w:val="1"/>
          <w:color w:val="auto"/>
        </w:rPr>
        <w:t xml:space="preserve">Common Stock Subject to a Substantial Risk of Forfeiture. </w:t>
      </w:r>
      <w:r>
        <w:rPr>
          <w:rFonts w:ascii="Arial" w:cs="Arial" w:eastAsia="Arial" w:hAnsi="Arial"/>
          <w:sz w:val="16"/>
          <w:szCs w:val="16"/>
          <w:color w:val="auto"/>
        </w:rPr>
        <w:t>In general, if a participant receives common stock pursuant to an award made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5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6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Future awards that may be made to eligible participants under the Plan are subject to the discretion of the Compensation Committee, and, therefore, cannot be determined with certainty at this time. Awards made under the Plan in 2020 to our Named Executive Officers are set forth under the "2020 Grants of Plan Based Awards" table.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a vote against this Proposal.</w:t>
      </w:r>
    </w:p>
    <w:p>
      <w:pPr>
        <w:spacing w:after="0" w:line="207" w:lineRule="exact"/>
        <w:rPr>
          <w:sz w:val="20"/>
          <w:szCs w:val="20"/>
          <w:color w:val="auto"/>
        </w:rPr>
      </w:pPr>
    </w:p>
    <w:p>
      <w:pPr>
        <w:jc w:val="center"/>
        <w:ind w:left="340" w:right="152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EIGHTH AMENDED AND RESTATED WESTWOOD HOLDINGS GROUP, INC. STOCK INCENTIVE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553" w:right="3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PROPOSAL 4:</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62"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Compensation Committee has structured our executive compensation program to reflect our "pay-for-performance" philosophy. The compensation opportunities provided to the named executive officers are dependent on the Company’s financial performance and the named executive officers’ individual performances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8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You have the opportunity to vote "FOR" or "AGAINST" or to "ABSTAIN" from voting on the following non-binding resolution relating to executive compensation:</w:t>
      </w:r>
    </w:p>
    <w:p>
      <w:pPr>
        <w:spacing w:after="0" w:line="62" w:lineRule="exact"/>
        <w:rPr>
          <w:sz w:val="20"/>
          <w:szCs w:val="20"/>
          <w:color w:val="auto"/>
        </w:rPr>
      </w:pPr>
    </w:p>
    <w:p>
      <w:pPr>
        <w:jc w:val="both"/>
        <w:ind w:left="420" w:right="320"/>
        <w:spacing w:after="0" w:line="286"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2021 Annual Meeting of Stockholders pursuant to Item 402 of Regulation S-K, including the compensation discussion and analysis, the compensation tables, and the narrative discussion."</w:t>
      </w:r>
    </w:p>
    <w:p>
      <w:pPr>
        <w:spacing w:after="0" w:line="5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76" w:lineRule="exact"/>
        <w:rPr>
          <w:sz w:val="20"/>
          <w:szCs w:val="20"/>
          <w:color w:val="auto"/>
        </w:rPr>
      </w:pPr>
    </w:p>
    <w:p>
      <w:pPr>
        <w:jc w:val="both"/>
        <w:ind w:left="660" w:right="4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from 54% to 62% (excluding Mr. Casey as discussed above in "Compensation Discussion and Analysis") -- was "at risk" compensation in 2020, delivered in the form of an annual cash incentive award and an annual equity incentive award.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any significant perquisites.</w:t>
      </w:r>
    </w:p>
    <w:p>
      <w:pPr>
        <w:spacing w:after="0" w:line="117" w:lineRule="exact"/>
        <w:rPr>
          <w:rFonts w:ascii="Arial" w:cs="Arial" w:eastAsia="Arial" w:hAnsi="Arial"/>
          <w:sz w:val="18"/>
          <w:szCs w:val="18"/>
          <w:color w:val="auto"/>
        </w:rPr>
      </w:pPr>
    </w:p>
    <w:p>
      <w:pPr>
        <w:ind w:left="660" w:right="60" w:hanging="328"/>
        <w:spacing w:after="0" w:line="301" w:lineRule="auto"/>
        <w:tabs>
          <w:tab w:leader="none" w:pos="6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Compensation Committee endeavors to structure the Company's executive compensation program to motivate and reward our executive officers for taking appropriate business risks, while avoiding pay practices that incentivize excessive risk-taking. In connection with the Compensation Committee's review of our compensation policies and practices for all employees in February 2021, the Compensation Committee concluded that these policies and practices do not create risks that are reasonably likely to have a material adverse effect on the Company.</w:t>
      </w:r>
    </w:p>
    <w:p>
      <w:pPr>
        <w:spacing w:after="0" w:line="49"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While your vote on this proposal is advisory and is not binding on the Compensation Committee, the Board of Directors of the Company and the Compensation Committee value the opinions of our stockholders on executive compensation matters and will take the results of this advisory vote into consideration for future decisions regarding our executive compensation program.</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877"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2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34" w:lineRule="exact"/>
        <w:rPr>
          <w:sz w:val="20"/>
          <w:szCs w:val="20"/>
          <w:color w:val="auto"/>
        </w:rPr>
      </w:pPr>
    </w:p>
    <w:p>
      <w:pPr>
        <w:jc w:val="center"/>
        <w:ind w:left="34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2020, the members of our Compensation Committee were Messrs. Frank (Chairman), Norman and Wooldridge, and Ms. Masterson.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51" w:name="page52"/>
    <w:bookmarkEnd w:id="51"/>
    <w:p>
      <w:pPr>
        <w:ind w:right="3040" w:firstLine="3050"/>
        <w:spacing w:after="0" w:line="378" w:lineRule="auto"/>
        <w:rPr>
          <w:sz w:val="20"/>
          <w:szCs w:val="20"/>
          <w:color w:val="auto"/>
        </w:rPr>
      </w:pPr>
      <w:r>
        <w:rPr>
          <w:rFonts w:ascii="Arial" w:cs="Arial" w:eastAsia="Arial" w:hAnsi="Arial"/>
          <w:sz w:val="18"/>
          <w:szCs w:val="18"/>
          <w:b w:val="1"/>
          <w:bCs w:val="1"/>
          <w:color w:val="auto"/>
        </w:rPr>
        <w:t>CERTAIN RELATIONSHIPS AND RELATED TRANSACTIONS Other Relationships and Related Transactions</w:t>
      </w:r>
    </w:p>
    <w:p>
      <w:pPr>
        <w:ind w:right="300" w:firstLine="405"/>
        <w:spacing w:after="0" w:line="263"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2020 and received total compensation of $552,675. He currently serves as President of Westwood Trust (Dallas) and is compensated in a manner consistent with our policies that apply to all employees.</w:t>
      </w:r>
    </w:p>
    <w:p>
      <w:pPr>
        <w:spacing w:after="0" w:line="7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$219,000 during fiscal year 2020 in connection with sub-advisory services provided by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121"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21"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7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134" w:right="3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of March 2, 2021, there were 8,431,167 shares of common stock issued and entitled to vote at the annual meeting. Except where otherwise indicated, the following table sets forth certain information as of March 2, 2021 regarding beneficial ownership of the common stock and the percentage of total voting power held by:</w:t>
      </w:r>
    </w:p>
    <w:p>
      <w:pPr>
        <w:spacing w:after="0" w:line="7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35"/>
        </w:trPr>
        <w:tc>
          <w:tcPr>
            <w:tcW w:w="8440" w:type="dxa"/>
            <w:vAlign w:val="bottom"/>
            <w:gridSpan w:val="2"/>
            <w:vMerge w:val="restart"/>
          </w:tcPr>
          <w:p>
            <w:pPr>
              <w:ind w:left="3600"/>
              <w:spacing w:after="0"/>
              <w:rPr>
                <w:sz w:val="20"/>
                <w:szCs w:val="20"/>
                <w:color w:val="auto"/>
              </w:rPr>
            </w:pPr>
            <w:r>
              <w:rPr>
                <w:rFonts w:ascii="Arial" w:cs="Arial" w:eastAsia="Arial" w:hAnsi="Arial"/>
                <w:sz w:val="14"/>
                <w:szCs w:val="14"/>
                <w:b w:val="1"/>
                <w:bCs w:val="1"/>
                <w:color w:val="auto"/>
              </w:rPr>
              <w:t>Beneficial Owners</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40" w:type="dxa"/>
            <w:vAlign w:val="bottom"/>
            <w:gridSpan w:val="2"/>
            <w:vMerge w:val="continue"/>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24"/>
        </w:trPr>
        <w:tc>
          <w:tcPr>
            <w:tcW w:w="83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5% Beneficial Owners</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(2)(3)</w:t>
            </w:r>
          </w:p>
        </w:tc>
        <w:tc>
          <w:tcPr>
            <w:tcW w:w="1500" w:type="dxa"/>
            <w:vAlign w:val="bottom"/>
          </w:tcPr>
          <w:p>
            <w:pPr>
              <w:jc w:val="right"/>
              <w:spacing w:after="0"/>
              <w:rPr>
                <w:sz w:val="20"/>
                <w:szCs w:val="20"/>
                <w:color w:val="auto"/>
              </w:rPr>
            </w:pPr>
            <w:r>
              <w:rPr>
                <w:rFonts w:ascii="Arial" w:cs="Arial" w:eastAsia="Arial" w:hAnsi="Arial"/>
                <w:sz w:val="18"/>
                <w:szCs w:val="18"/>
                <w:color w:val="auto"/>
              </w:rPr>
              <w:t>727,798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3"/>
                <w:szCs w:val="23"/>
                <w:color w:val="auto"/>
                <w:vertAlign w:val="superscript"/>
              </w:rPr>
              <w:t>(2)(7)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Wells Fargo &amp; Company</w:t>
            </w:r>
            <w:r>
              <w:rPr>
                <w:rFonts w:ascii="Arial" w:cs="Arial" w:eastAsia="Arial" w:hAnsi="Arial"/>
                <w:sz w:val="23"/>
                <w:szCs w:val="23"/>
                <w:color w:val="auto"/>
                <w:vertAlign w:val="superscript"/>
              </w:rPr>
              <w:t>(2)(4)</w:t>
            </w:r>
          </w:p>
        </w:tc>
        <w:tc>
          <w:tcPr>
            <w:tcW w:w="1500" w:type="dxa"/>
            <w:vAlign w:val="bottom"/>
          </w:tcPr>
          <w:p>
            <w:pPr>
              <w:jc w:val="right"/>
              <w:spacing w:after="0"/>
              <w:rPr>
                <w:sz w:val="20"/>
                <w:szCs w:val="20"/>
                <w:color w:val="auto"/>
              </w:rPr>
            </w:pPr>
            <w:r>
              <w:rPr>
                <w:rFonts w:ascii="Arial" w:cs="Arial" w:eastAsia="Arial" w:hAnsi="Arial"/>
                <w:sz w:val="18"/>
                <w:szCs w:val="18"/>
                <w:color w:val="auto"/>
              </w:rPr>
              <w:t>593,302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GAMCO Investors, Inc.</w:t>
            </w:r>
            <w:r>
              <w:rPr>
                <w:rFonts w:ascii="Arial" w:cs="Arial" w:eastAsia="Arial" w:hAnsi="Arial"/>
                <w:sz w:val="23"/>
                <w:szCs w:val="23"/>
                <w:color w:val="auto"/>
                <w:vertAlign w:val="superscript"/>
              </w:rPr>
              <w:t>(2)(5)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570,992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3"/>
                <w:szCs w:val="23"/>
                <w:color w:val="auto"/>
                <w:vertAlign w:val="superscript"/>
              </w:rPr>
              <w:t>(2)(6)</w:t>
            </w:r>
          </w:p>
        </w:tc>
        <w:tc>
          <w:tcPr>
            <w:tcW w:w="1500" w:type="dxa"/>
            <w:vAlign w:val="bottom"/>
          </w:tcPr>
          <w:p>
            <w:pPr>
              <w:jc w:val="right"/>
              <w:spacing w:after="0"/>
              <w:rPr>
                <w:sz w:val="20"/>
                <w:szCs w:val="20"/>
                <w:color w:val="auto"/>
              </w:rPr>
            </w:pPr>
            <w:r>
              <w:rPr>
                <w:rFonts w:ascii="Arial" w:cs="Arial" w:eastAsia="Arial" w:hAnsi="Arial"/>
                <w:sz w:val="18"/>
                <w:szCs w:val="18"/>
                <w:color w:val="auto"/>
              </w:rPr>
              <w:t>514,235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3"/>
                <w:szCs w:val="23"/>
                <w:b w:val="1"/>
                <w:bCs w:val="1"/>
                <w:color w:val="auto"/>
                <w:vertAlign w:val="superscript"/>
              </w:rPr>
              <w:t>(1)</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Brian O. Casey</w:t>
            </w:r>
          </w:p>
        </w:tc>
        <w:tc>
          <w:tcPr>
            <w:tcW w:w="1500" w:type="dxa"/>
            <w:vAlign w:val="bottom"/>
          </w:tcPr>
          <w:p>
            <w:pPr>
              <w:jc w:val="right"/>
              <w:spacing w:after="0"/>
              <w:rPr>
                <w:sz w:val="20"/>
                <w:szCs w:val="20"/>
                <w:color w:val="auto"/>
              </w:rPr>
            </w:pPr>
            <w:r>
              <w:rPr>
                <w:rFonts w:ascii="Arial" w:cs="Arial" w:eastAsia="Arial" w:hAnsi="Arial"/>
                <w:sz w:val="18"/>
                <w:szCs w:val="18"/>
                <w:color w:val="auto"/>
              </w:rPr>
              <w:t>367,570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1500" w:type="dxa"/>
            <w:vAlign w:val="bottom"/>
          </w:tcPr>
          <w:p>
            <w:pPr>
              <w:jc w:val="right"/>
              <w:spacing w:after="0"/>
              <w:rPr>
                <w:sz w:val="20"/>
                <w:szCs w:val="20"/>
                <w:color w:val="auto"/>
              </w:rPr>
            </w:pPr>
            <w:r>
              <w:rPr>
                <w:rFonts w:ascii="Arial" w:cs="Arial" w:eastAsia="Arial" w:hAnsi="Arial"/>
                <w:sz w:val="18"/>
                <w:szCs w:val="18"/>
                <w:color w:val="auto"/>
              </w:rPr>
              <w:t>34,856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Steven Paddon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500" w:type="dxa"/>
            <w:vAlign w:val="bottom"/>
          </w:tcPr>
          <w:p>
            <w:pPr>
              <w:jc w:val="right"/>
              <w:spacing w:after="0"/>
              <w:rPr>
                <w:sz w:val="20"/>
                <w:szCs w:val="20"/>
                <w:color w:val="auto"/>
              </w:rPr>
            </w:pPr>
            <w:r>
              <w:rPr>
                <w:rFonts w:ascii="Arial" w:cs="Arial" w:eastAsia="Arial" w:hAnsi="Arial"/>
                <w:sz w:val="18"/>
                <w:szCs w:val="18"/>
                <w:color w:val="auto"/>
              </w:rPr>
              <w:t>48,201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Richard M. Frank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Susan M. Byrne</w:t>
            </w:r>
          </w:p>
        </w:tc>
        <w:tc>
          <w:tcPr>
            <w:tcW w:w="1500" w:type="dxa"/>
            <w:vAlign w:val="bottom"/>
          </w:tcPr>
          <w:p>
            <w:pPr>
              <w:jc w:val="right"/>
              <w:spacing w:after="0"/>
              <w:rPr>
                <w:sz w:val="20"/>
                <w:szCs w:val="20"/>
                <w:color w:val="auto"/>
              </w:rPr>
            </w:pPr>
            <w:r>
              <w:rPr>
                <w:rFonts w:ascii="Arial" w:cs="Arial" w:eastAsia="Arial" w:hAnsi="Arial"/>
                <w:sz w:val="18"/>
                <w:szCs w:val="18"/>
                <w:color w:val="auto"/>
              </w:rPr>
              <w:t>256,020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Ellen H. Masterson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Geoffrey R. Norman</w:t>
            </w:r>
          </w:p>
        </w:tc>
        <w:tc>
          <w:tcPr>
            <w:tcW w:w="1500" w:type="dxa"/>
            <w:vAlign w:val="bottom"/>
          </w:tcPr>
          <w:p>
            <w:pPr>
              <w:jc w:val="right"/>
              <w:spacing w:after="0"/>
              <w:rPr>
                <w:sz w:val="20"/>
                <w:szCs w:val="20"/>
                <w:color w:val="auto"/>
              </w:rPr>
            </w:pPr>
            <w:r>
              <w:rPr>
                <w:rFonts w:ascii="Arial" w:cs="Arial" w:eastAsia="Arial" w:hAnsi="Arial"/>
                <w:sz w:val="18"/>
                <w:szCs w:val="18"/>
                <w:color w:val="auto"/>
              </w:rPr>
              <w:t>17,423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Raymond E. Wooldridge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All directors and named executive officers as a group (10 Persons)</w:t>
            </w:r>
          </w:p>
        </w:tc>
        <w:tc>
          <w:tcPr>
            <w:tcW w:w="1500" w:type="dxa"/>
            <w:vAlign w:val="bottom"/>
          </w:tcPr>
          <w:p>
            <w:pPr>
              <w:jc w:val="right"/>
              <w:spacing w:after="0"/>
              <w:rPr>
                <w:sz w:val="20"/>
                <w:szCs w:val="20"/>
                <w:color w:val="auto"/>
              </w:rPr>
            </w:pPr>
            <w:r>
              <w:rPr>
                <w:rFonts w:ascii="Arial" w:cs="Arial" w:eastAsia="Arial" w:hAnsi="Arial"/>
                <w:sz w:val="18"/>
                <w:szCs w:val="18"/>
                <w:color w:val="auto"/>
              </w:rPr>
              <w:t>895,260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0"/>
        <w:spacing w:after="0"/>
        <w:rPr>
          <w:sz w:val="20"/>
          <w:szCs w:val="20"/>
          <w:color w:val="auto"/>
        </w:rPr>
      </w:pPr>
      <w:r>
        <w:rPr>
          <w:rFonts w:ascii="Arial" w:cs="Arial" w:eastAsia="Arial" w:hAnsi="Arial"/>
          <w:sz w:val="9"/>
          <w:szCs w:val="9"/>
          <w:color w:val="auto"/>
        </w:rPr>
        <w:t>___________________</w:t>
      </w:r>
    </w:p>
    <w:p>
      <w:pPr>
        <w:spacing w:after="0" w:line="1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Less than 1%</w:t>
      </w:r>
    </w:p>
    <w:p>
      <w:pPr>
        <w:spacing w:after="0" w:line="9"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12" w:lineRule="exact"/>
        <w:rPr>
          <w:rFonts w:ascii="Arial" w:cs="Arial" w:eastAsia="Arial" w:hAnsi="Arial"/>
          <w:sz w:val="13"/>
          <w:szCs w:val="13"/>
          <w:color w:val="auto"/>
        </w:rPr>
      </w:pPr>
    </w:p>
    <w:p>
      <w:pPr>
        <w:ind w:left="500" w:right="300" w:hanging="492"/>
        <w:spacing w:after="0" w:line="241" w:lineRule="auto"/>
        <w:tabs>
          <w:tab w:leader="none" w:pos="323"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address of BlackRock, Inc. is 55 East 52nd Street, New York, New York 10055. On January 31, 2021, BlackRock, Inc. reported its beneficial ownership, indicating that it held sole voting power over 710,501 shares and sole dispositive power over 727,798 shares.</w:t>
      </w:r>
    </w:p>
    <w:p>
      <w:pPr>
        <w:ind w:left="500" w:right="100" w:hanging="492"/>
        <w:spacing w:after="0" w:line="241" w:lineRule="auto"/>
        <w:tabs>
          <w:tab w:leader="none" w:pos="323"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address of Wells Fargo &amp; Company is 420 Montgomery Street, San Francisco, CA 94163. On February 1, 2021, Wells Fargo &amp; Company reported its beneficial ownership, indicating that it held sole voting over 565,841 shares and shared dispositive power over 593,302 shares. The Schedule 13G filed by Wells Fargo &amp; Company is filed on its own behalf and on behalf of any subsidiaries listed on Exhibit B of the Schedule 13G, which each hold sole voting power, sole dispositive power, shared voting power, and shared dispositive power over a different number of shares. However, the 612,537 shares reflects the aggregate beneficial ownership reported by Wells Fargo &amp; Company on a consolidated basis and includes any beneficial ownership separately reported by a subsidiary.</w:t>
      </w:r>
    </w:p>
    <w:p>
      <w:pPr>
        <w:spacing w:after="0" w:line="1" w:lineRule="exact"/>
        <w:rPr>
          <w:rFonts w:ascii="Arial" w:cs="Arial" w:eastAsia="Arial" w:hAnsi="Arial"/>
          <w:sz w:val="14"/>
          <w:szCs w:val="14"/>
          <w:color w:val="auto"/>
        </w:rPr>
      </w:pPr>
    </w:p>
    <w:p>
      <w:pPr>
        <w:ind w:left="500" w:right="80" w:hanging="492"/>
        <w:spacing w:after="0" w:line="241" w:lineRule="auto"/>
        <w:tabs>
          <w:tab w:leader="none" w:pos="323"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January 28, 2021, GAMCO reported its beneficial ownership, indicating that it held sole voting power over 570,992 shares.</w:t>
      </w:r>
    </w:p>
    <w:p>
      <w:pPr>
        <w:ind w:left="500" w:right="100" w:hanging="492"/>
        <w:spacing w:after="0" w:line="241" w:lineRule="auto"/>
        <w:tabs>
          <w:tab w:leader="none" w:pos="323"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address of The Vanguard Group is 100 Vanguard Blvd. Malvern, PA 19355. On February 8, 2021, The Vanguard Group reported its beneficial ownership, indicating that it held shared dispositive power over 8,300 shares and sole dispositive power over 505,934 shares.</w:t>
      </w:r>
    </w:p>
    <w:p>
      <w:pPr>
        <w:ind w:left="500" w:right="440" w:hanging="492"/>
        <w:spacing w:after="0" w:line="255" w:lineRule="auto"/>
        <w:tabs>
          <w:tab w:leader="none" w:pos="323"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address of Renaissance Technologies LLC is 800 Third Avenue, New York, NY 10022. On February 11, 2021, Renaissance Technologies LLC reported its beneficial ownership, indicating that it held sole voting power over 635,916 shares, and sole dispositive power over 726,616 shares.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039" w:right="3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340" w:firstLine="445"/>
        <w:spacing w:after="0" w:line="259" w:lineRule="auto"/>
        <w:rPr>
          <w:sz w:val="20"/>
          <w:szCs w:val="20"/>
          <w:color w:val="auto"/>
        </w:rPr>
      </w:pPr>
      <w:r>
        <w:rPr>
          <w:rFonts w:ascii="Arial" w:cs="Arial" w:eastAsia="Arial" w:hAnsi="Arial"/>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Arial" w:cs="Arial" w:eastAsia="Arial" w:hAnsi="Arial"/>
          <w:sz w:val="18"/>
          <w:szCs w:val="18"/>
          <w:i w:val="1"/>
          <w:iCs w:val="1"/>
          <w:color w:val="auto"/>
        </w:rPr>
        <w:t>westwoodgroup.com</w:t>
      </w:r>
      <w:r>
        <w:rPr>
          <w:rFonts w:ascii="Arial" w:cs="Arial" w:eastAsia="Arial" w:hAnsi="Arial"/>
          <w:sz w:val="18"/>
          <w:szCs w:val="18"/>
          <w:color w:val="auto"/>
        </w:rPr>
        <w:t xml:space="preserve"> under the corporate governance section. The Audit Committee reviews the adequacy of and compliance with such charter annually.</w:t>
      </w:r>
    </w:p>
    <w:p>
      <w:pPr>
        <w:spacing w:after="0" w:line="79"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2020 with management and Deloitte &amp; Touche LLP ("Deloitte"),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Deloitte is responsible for auditing those financial statements and expressing an opinion on the conformity of the financial statements with GAAP.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7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Deloitte. As part of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Deloitte the overall scope and plan for their audits and met with the firm throughout the year, with and without management present, to monitor the firm's progress and results obtained from their audits.</w:t>
      </w:r>
    </w:p>
    <w:p>
      <w:pPr>
        <w:spacing w:after="0" w:line="80"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Audit Committee received from Deloitte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80"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The Audit Committee discussed with management, Westwood’s internal auditors and Deloitte the quality and adequacy of Westwood’s internal controls over financial reporting and the audit scope and plans for audits performed by the internal auditors and Deloitte.</w:t>
      </w:r>
    </w:p>
    <w:p>
      <w:pPr>
        <w:spacing w:after="0" w:line="3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76" w:lineRule="exact"/>
        <w:rPr>
          <w:sz w:val="20"/>
          <w:szCs w:val="20"/>
          <w:color w:val="auto"/>
        </w:rPr>
      </w:pPr>
    </w:p>
    <w:p>
      <w:pPr>
        <w:ind w:right="160" w:firstLine="445"/>
        <w:spacing w:after="0" w:line="288" w:lineRule="auto"/>
        <w:rPr>
          <w:sz w:val="20"/>
          <w:szCs w:val="20"/>
          <w:color w:val="auto"/>
        </w:rPr>
      </w:pPr>
      <w:r>
        <w:rPr>
          <w:rFonts w:ascii="Arial" w:cs="Arial" w:eastAsia="Arial" w:hAnsi="Arial"/>
          <w:sz w:val="16"/>
          <w:szCs w:val="16"/>
          <w:color w:val="auto"/>
        </w:rPr>
        <w:t>For the fiscal year 2020,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Deloitte. At the conclusion of the process, management provided the Audit Committee with a report on management’s assessment of the effectiveness of Westwood’s internal control over financial reporting as of December 31, 2020.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Deloitte prior to earnings announcements throughout the year.</w:t>
      </w:r>
    </w:p>
    <w:p>
      <w:pPr>
        <w:spacing w:after="0" w:line="6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2020,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4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Ellen H. Masterson,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M. Frank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119"/>
          </w:cols>
          <w:pgMar w:left="340" w:top="652" w:right="1440"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200" w:firstLine="405"/>
        <w:spacing w:after="0" w:line="311"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41"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Included in the Proxy Statement</w:t>
      </w:r>
    </w:p>
    <w:p>
      <w:pPr>
        <w:spacing w:after="0" w:line="12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To be considered for inclusion in next year's proxy statement, stockholder proposals must be received at our principal executive offices no later than the close of business on November 18, 2021. Proposals should be submitted in writing to 200 Crescent Court, Suite 1200, Dallas, Texas 75201, Attn: Corporate Secretary. In order to be included in next year's proxy statement, stockholder proposals must comply with all applicable legal requirements, including Rule 14a-8 under the Exchange Act. Timely submission of a proposal does not guarantee that such proposal will be included.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Not Included in Proxy Statement</w:t>
      </w:r>
    </w:p>
    <w:p>
      <w:pPr>
        <w:spacing w:after="0" w:line="121"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If Westwood does not receive notice of a stockholder proposal at least 45 calendar days before the mailing date of the proxy statement for the prior year's annual meeting, then your proxy will confer discretionary authority on the person(s) named in the form of proxy for the annual meeting to vote on the proposal if it is properly presented for consideration at a meeting.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2020 Annual Report to Stockholders, which includes our consolidated financial statements as of and for the year ended December 31, 2020, is being mailed to you along with this proxy statement. Upon written request, we are pleased to provide, without charge to any stockholder, a copy of our 2020 Form 10-K, including the financial statements and financial statement schedules to such report. Such request should be directed to 200 Crescent Court, Suite 1200, Dallas, Texas 75201, Attn: Corporate Secretary.</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of the stockholders would like to receive only a single set of our disclosure documents, they should follow these instructions:</w:t>
      </w:r>
    </w:p>
    <w:p>
      <w:pPr>
        <w:spacing w:after="0" w:line="56" w:lineRule="exact"/>
        <w:rPr>
          <w:sz w:val="20"/>
          <w:szCs w:val="20"/>
          <w:color w:val="auto"/>
        </w:rPr>
      </w:pPr>
    </w:p>
    <w:p>
      <w:pPr>
        <w:ind w:left="660" w:right="4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877" w:right="399" w:bottom="1440" w:gutter="0" w:footer="0" w:header="0"/>
        </w:sectPr>
      </w:pPr>
    </w:p>
    <w:bookmarkStart w:id="56" w:name="page57"/>
    <w:bookmarkEnd w:id="56"/>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97726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O. Casey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553" w:right="47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Appendix 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 WESTWOOD HOLDINGS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268"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300" w:right="640" w:hanging="644"/>
        <w:spacing w:after="0" w:line="282"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Eighth Amended and Restated Westwood Holdings Group, Inc.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effective as of March 4,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1300" w:right="280" w:hanging="644"/>
        <w:spacing w:after="0" w:line="266"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7" w:lineRule="exact"/>
        <w:rPr>
          <w:rFonts w:ascii="Arial" w:cs="Arial" w:eastAsia="Arial" w:hAnsi="Arial"/>
          <w:sz w:val="18"/>
          <w:szCs w:val="18"/>
          <w:color w:val="auto"/>
        </w:rPr>
      </w:pPr>
    </w:p>
    <w:p>
      <w:pPr>
        <w:jc w:val="both"/>
        <w:ind w:left="1300" w:right="220" w:hanging="644"/>
        <w:spacing w:after="0" w:line="261"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Definitions. Whenever used herein, the followin</w:t>
      </w:r>
      <w:r>
        <w:rPr>
          <w:rFonts w:ascii="Arial" w:cs="Arial" w:eastAsia="Arial" w:hAnsi="Arial"/>
          <w:sz w:val="18"/>
          <w:szCs w:val="18"/>
          <w:color w:val="auto"/>
        </w:rPr>
        <w:t>g terms shall have their respective meanings set forth below:</w:t>
      </w:r>
    </w:p>
    <w:p>
      <w:pPr>
        <w:spacing w:after="0" w:line="121" w:lineRule="exact"/>
        <w:rPr>
          <w:rFonts w:ascii="Arial" w:cs="Arial" w:eastAsia="Arial" w:hAnsi="Arial"/>
          <w:sz w:val="18"/>
          <w:szCs w:val="18"/>
          <w:color w:val="auto"/>
        </w:rPr>
      </w:pPr>
    </w:p>
    <w:p>
      <w:pPr>
        <w:ind w:left="1940" w:hanging="636"/>
        <w:spacing w:after="0"/>
        <w:tabs>
          <w:tab w:leader="none" w:pos="1940" w:val="left"/>
        </w:tabs>
        <w:numPr>
          <w:ilvl w:val="2"/>
          <w:numId w:val="9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17.2.</w:t>
      </w:r>
    </w:p>
    <w:p>
      <w:pPr>
        <w:spacing w:after="0" w:line="117" w:lineRule="exact"/>
        <w:rPr>
          <w:rFonts w:ascii="Arial" w:cs="Arial" w:eastAsia="Arial" w:hAnsi="Arial"/>
          <w:sz w:val="18"/>
          <w:szCs w:val="18"/>
          <w:color w:val="auto"/>
        </w:rPr>
      </w:pPr>
    </w:p>
    <w:p>
      <w:pPr>
        <w:ind w:left="1960" w:hanging="656"/>
        <w:spacing w:after="0"/>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11.1.</w:t>
      </w:r>
    </w:p>
    <w:p>
      <w:pPr>
        <w:spacing w:after="0" w:line="117" w:lineRule="exact"/>
        <w:rPr>
          <w:rFonts w:ascii="Arial" w:cs="Arial" w:eastAsia="Arial" w:hAnsi="Arial"/>
          <w:sz w:val="18"/>
          <w:szCs w:val="18"/>
          <w:color w:val="auto"/>
        </w:rPr>
      </w:pPr>
    </w:p>
    <w:p>
      <w:pPr>
        <w:ind w:left="1960" w:right="220" w:hanging="656"/>
        <w:spacing w:after="0" w:line="263" w:lineRule="auto"/>
        <w:tabs>
          <w:tab w:leader="none" w:pos="1950" w:val="left"/>
        </w:tabs>
        <w:numPr>
          <w:ilvl w:val="2"/>
          <w:numId w:val="9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75" w:lineRule="exact"/>
        <w:rPr>
          <w:rFonts w:ascii="Arial" w:cs="Arial" w:eastAsia="Arial" w:hAnsi="Arial"/>
          <w:sz w:val="18"/>
          <w:szCs w:val="18"/>
          <w:color w:val="auto"/>
        </w:rPr>
      </w:pPr>
    </w:p>
    <w:p>
      <w:pPr>
        <w:ind w:left="2600" w:hanging="743"/>
        <w:spacing w:after="0"/>
        <w:tabs>
          <w:tab w:leader="none" w:pos="2600" w:val="left"/>
        </w:tabs>
        <w:numPr>
          <w:ilvl w:val="4"/>
          <w:numId w:val="90"/>
        </w:numPr>
        <w:rPr>
          <w:rFonts w:ascii="Arial" w:cs="Arial" w:eastAsia="Arial" w:hAnsi="Arial"/>
          <w:sz w:val="18"/>
          <w:szCs w:val="18"/>
          <w:color w:val="auto"/>
        </w:rPr>
      </w:pPr>
      <w:r>
        <w:rPr>
          <w:rFonts w:ascii="Arial" w:cs="Arial" w:eastAsia="Arial" w:hAnsi="Arial"/>
          <w:sz w:val="18"/>
          <w:szCs w:val="18"/>
          <w:color w:val="auto"/>
        </w:rPr>
        <w:t>Options awarded pursuant to Sections 6;</w:t>
      </w:r>
    </w:p>
    <w:p>
      <w:pPr>
        <w:spacing w:after="0" w:line="117" w:lineRule="exact"/>
        <w:rPr>
          <w:rFonts w:ascii="Arial" w:cs="Arial" w:eastAsia="Arial" w:hAnsi="Arial"/>
          <w:sz w:val="18"/>
          <w:szCs w:val="18"/>
          <w:color w:val="auto"/>
        </w:rPr>
      </w:pPr>
    </w:p>
    <w:p>
      <w:pPr>
        <w:ind w:left="2600" w:hanging="793"/>
        <w:spacing w:after="0"/>
        <w:tabs>
          <w:tab w:leader="none" w:pos="2600" w:val="left"/>
        </w:tabs>
        <w:numPr>
          <w:ilvl w:val="4"/>
          <w:numId w:val="90"/>
        </w:numPr>
        <w:rPr>
          <w:rFonts w:ascii="Arial" w:cs="Arial" w:eastAsia="Arial" w:hAnsi="Arial"/>
          <w:sz w:val="18"/>
          <w:szCs w:val="18"/>
          <w:color w:val="auto"/>
        </w:rPr>
      </w:pPr>
      <w:r>
        <w:rPr>
          <w:rFonts w:ascii="Arial" w:cs="Arial" w:eastAsia="Arial" w:hAnsi="Arial"/>
          <w:sz w:val="18"/>
          <w:szCs w:val="18"/>
          <w:color w:val="auto"/>
        </w:rPr>
        <w:t>Stock Appreciation Rights awarded pursuant to Section 7;</w:t>
      </w:r>
    </w:p>
    <w:p>
      <w:pPr>
        <w:spacing w:after="0" w:line="117" w:lineRule="exact"/>
        <w:rPr>
          <w:rFonts w:ascii="Arial" w:cs="Arial" w:eastAsia="Arial" w:hAnsi="Arial"/>
          <w:sz w:val="18"/>
          <w:szCs w:val="18"/>
          <w:color w:val="auto"/>
        </w:rPr>
      </w:pPr>
    </w:p>
    <w:p>
      <w:pPr>
        <w:ind w:left="2600" w:hanging="842"/>
        <w:spacing w:after="0"/>
        <w:tabs>
          <w:tab w:leader="none" w:pos="2600" w:val="left"/>
        </w:tabs>
        <w:numPr>
          <w:ilvl w:val="4"/>
          <w:numId w:val="90"/>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17" w:lineRule="exact"/>
        <w:rPr>
          <w:rFonts w:ascii="Arial" w:cs="Arial" w:eastAsia="Arial" w:hAnsi="Arial"/>
          <w:sz w:val="18"/>
          <w:szCs w:val="18"/>
          <w:color w:val="auto"/>
        </w:rPr>
      </w:pPr>
    </w:p>
    <w:p>
      <w:pPr>
        <w:ind w:left="2580" w:hanging="813"/>
        <w:spacing w:after="0"/>
        <w:tabs>
          <w:tab w:leader="none" w:pos="2580" w:val="left"/>
        </w:tabs>
        <w:numPr>
          <w:ilvl w:val="3"/>
          <w:numId w:val="90"/>
        </w:numPr>
        <w:rPr>
          <w:rFonts w:ascii="Arial" w:cs="Arial" w:eastAsia="Arial" w:hAnsi="Arial"/>
          <w:sz w:val="18"/>
          <w:szCs w:val="18"/>
          <w:color w:val="auto"/>
        </w:rPr>
      </w:pPr>
      <w:r>
        <w:rPr>
          <w:rFonts w:ascii="Arial" w:cs="Arial" w:eastAsia="Arial" w:hAnsi="Arial"/>
          <w:sz w:val="18"/>
          <w:szCs w:val="18"/>
          <w:color w:val="auto"/>
        </w:rPr>
        <w:t>Restricted Stock Units awarded pursuant to Section 10.</w:t>
      </w:r>
    </w:p>
    <w:p>
      <w:pPr>
        <w:spacing w:after="0" w:line="117" w:lineRule="exact"/>
        <w:rPr>
          <w:rFonts w:ascii="Arial" w:cs="Arial" w:eastAsia="Arial" w:hAnsi="Arial"/>
          <w:sz w:val="18"/>
          <w:szCs w:val="18"/>
          <w:color w:val="auto"/>
        </w:rPr>
      </w:pPr>
    </w:p>
    <w:p>
      <w:pPr>
        <w:ind w:left="2580" w:hanging="763"/>
        <w:spacing w:after="0"/>
        <w:tabs>
          <w:tab w:leader="none" w:pos="2580" w:val="left"/>
        </w:tabs>
        <w:numPr>
          <w:ilvl w:val="3"/>
          <w:numId w:val="90"/>
        </w:numPr>
        <w:rPr>
          <w:rFonts w:ascii="Arial" w:cs="Arial" w:eastAsia="Arial" w:hAnsi="Arial"/>
          <w:sz w:val="18"/>
          <w:szCs w:val="18"/>
          <w:color w:val="auto"/>
        </w:rPr>
      </w:pPr>
      <w:r>
        <w:rPr>
          <w:rFonts w:ascii="Arial" w:cs="Arial" w:eastAsia="Arial" w:hAnsi="Arial"/>
          <w:sz w:val="18"/>
          <w:szCs w:val="18"/>
          <w:color w:val="auto"/>
        </w:rPr>
        <w:t>Other Stock-Based Awards awarded pursuant to Section 14.</w:t>
      </w:r>
    </w:p>
    <w:p>
      <w:pPr>
        <w:spacing w:after="0" w:line="117" w:lineRule="exact"/>
        <w:rPr>
          <w:rFonts w:ascii="Arial" w:cs="Arial" w:eastAsia="Arial" w:hAnsi="Arial"/>
          <w:sz w:val="18"/>
          <w:szCs w:val="18"/>
          <w:color w:val="auto"/>
        </w:rPr>
      </w:pPr>
    </w:p>
    <w:p>
      <w:pPr>
        <w:ind w:left="2600" w:hanging="833"/>
        <w:spacing w:after="0"/>
        <w:tabs>
          <w:tab w:leader="none" w:pos="2600" w:val="left"/>
        </w:tabs>
        <w:numPr>
          <w:ilvl w:val="4"/>
          <w:numId w:val="91"/>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11;</w:t>
      </w:r>
    </w:p>
    <w:p>
      <w:pPr>
        <w:spacing w:after="0" w:line="117" w:lineRule="exact"/>
        <w:rPr>
          <w:rFonts w:ascii="Arial" w:cs="Arial" w:eastAsia="Arial" w:hAnsi="Arial"/>
          <w:sz w:val="18"/>
          <w:szCs w:val="18"/>
          <w:color w:val="auto"/>
        </w:rPr>
      </w:pPr>
    </w:p>
    <w:p>
      <w:pPr>
        <w:ind w:left="2600" w:hanging="883"/>
        <w:spacing w:after="0"/>
        <w:tabs>
          <w:tab w:leader="none" w:pos="2600" w:val="left"/>
        </w:tabs>
        <w:numPr>
          <w:ilvl w:val="4"/>
          <w:numId w:val="91"/>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12; and</w:t>
      </w:r>
    </w:p>
    <w:p>
      <w:pPr>
        <w:spacing w:after="0" w:line="117" w:lineRule="exact"/>
        <w:rPr>
          <w:rFonts w:ascii="Arial" w:cs="Arial" w:eastAsia="Arial" w:hAnsi="Arial"/>
          <w:sz w:val="18"/>
          <w:szCs w:val="18"/>
          <w:color w:val="auto"/>
        </w:rPr>
      </w:pPr>
    </w:p>
    <w:p>
      <w:pPr>
        <w:ind w:left="2600" w:hanging="933"/>
        <w:spacing w:after="0"/>
        <w:tabs>
          <w:tab w:leader="none" w:pos="2600" w:val="left"/>
        </w:tabs>
        <w:numPr>
          <w:ilvl w:val="4"/>
          <w:numId w:val="91"/>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13.</w:t>
      </w:r>
    </w:p>
    <w:p>
      <w:pPr>
        <w:spacing w:after="0" w:line="117" w:lineRule="exact"/>
        <w:rPr>
          <w:rFonts w:ascii="Arial" w:cs="Arial" w:eastAsia="Arial" w:hAnsi="Arial"/>
          <w:sz w:val="18"/>
          <w:szCs w:val="18"/>
          <w:color w:val="auto"/>
        </w:rPr>
      </w:pPr>
    </w:p>
    <w:p>
      <w:pPr>
        <w:ind w:left="1960" w:right="240" w:hanging="656"/>
        <w:spacing w:after="0" w:line="277" w:lineRule="auto"/>
        <w:tabs>
          <w:tab w:leader="none" w:pos="1960" w:val="left"/>
        </w:tabs>
        <w:numPr>
          <w:ilvl w:val="2"/>
          <w:numId w:val="9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an Award granted to the Participant.</w:t>
      </w:r>
    </w:p>
    <w:p>
      <w:pPr>
        <w:spacing w:after="0" w:line="62" w:lineRule="exact"/>
        <w:rPr>
          <w:rFonts w:ascii="Arial" w:cs="Arial" w:eastAsia="Arial" w:hAnsi="Arial"/>
          <w:sz w:val="18"/>
          <w:szCs w:val="18"/>
          <w:color w:val="auto"/>
        </w:rPr>
      </w:pPr>
    </w:p>
    <w:p>
      <w:pPr>
        <w:ind w:left="1940" w:hanging="636"/>
        <w:spacing w:after="0"/>
        <w:tabs>
          <w:tab w:leader="none" w:pos="1940" w:val="left"/>
        </w:tabs>
        <w:numPr>
          <w:ilvl w:val="2"/>
          <w:numId w:val="9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940" w:hanging="636"/>
        <w:spacing w:after="0"/>
        <w:tabs>
          <w:tab w:leader="none" w:pos="1940" w:val="left"/>
        </w:tabs>
        <w:numPr>
          <w:ilvl w:val="2"/>
          <w:numId w:val="9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17" w:lineRule="exact"/>
        <w:rPr>
          <w:rFonts w:ascii="Arial" w:cs="Arial" w:eastAsia="Arial" w:hAnsi="Arial"/>
          <w:sz w:val="18"/>
          <w:szCs w:val="18"/>
          <w:color w:val="auto"/>
        </w:rPr>
      </w:pPr>
    </w:p>
    <w:p>
      <w:pPr>
        <w:ind w:left="1960" w:right="40" w:hanging="656"/>
        <w:spacing w:after="0" w:line="290" w:lineRule="auto"/>
        <w:tabs>
          <w:tab w:leader="none" w:pos="1960" w:val="left"/>
        </w:tabs>
        <w:numPr>
          <w:ilvl w:val="2"/>
          <w:numId w:val="92"/>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any of the following: (i) the Participant’s theft of a Participating Company’s property or falsification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74" w:right="339" w:bottom="1440" w:gutter="0" w:footer="0" w:header="0"/>
        </w:sectPr>
      </w:pPr>
    </w:p>
    <w:bookmarkStart w:id="58" w:name="page59"/>
    <w:bookmarkEnd w:id="58"/>
    <w:p>
      <w:pPr>
        <w:ind w:left="840" w:right="300"/>
        <w:spacing w:after="0" w:line="277" w:lineRule="auto"/>
        <w:rPr>
          <w:sz w:val="20"/>
          <w:szCs w:val="20"/>
          <w:color w:val="auto"/>
        </w:rPr>
      </w:pPr>
      <w:r>
        <w:rPr>
          <w:rFonts w:ascii="Arial" w:cs="Arial" w:eastAsia="Arial" w:hAnsi="Arial"/>
          <w:sz w:val="18"/>
          <w:szCs w:val="18"/>
          <w:color w:val="auto"/>
        </w:rPr>
        <w:t>any felony or any other criminal act which impairs the Participant’s ability to perform his or her duties with the Participating Company Group or any Participating Company.</w:t>
      </w:r>
    </w:p>
    <w:p>
      <w:pPr>
        <w:spacing w:after="0" w:line="62" w:lineRule="exact"/>
        <w:rPr>
          <w:sz w:val="20"/>
          <w:szCs w:val="20"/>
          <w:color w:val="auto"/>
        </w:rPr>
      </w:pPr>
    </w:p>
    <w:p>
      <w:pPr>
        <w:ind w:left="840" w:hanging="656"/>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17.1.</w:t>
      </w:r>
    </w:p>
    <w:p>
      <w:pPr>
        <w:spacing w:after="0" w:line="117" w:lineRule="exact"/>
        <w:rPr>
          <w:rFonts w:ascii="Arial" w:cs="Arial" w:eastAsia="Arial" w:hAnsi="Arial"/>
          <w:sz w:val="18"/>
          <w:szCs w:val="18"/>
          <w:color w:val="auto"/>
        </w:rPr>
      </w:pPr>
    </w:p>
    <w:p>
      <w:pPr>
        <w:ind w:left="820" w:hanging="636"/>
        <w:spacing w:after="0"/>
        <w:tabs>
          <w:tab w:leader="none" w:pos="82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128" w:lineRule="exact"/>
        <w:rPr>
          <w:rFonts w:ascii="Arial" w:cs="Arial" w:eastAsia="Arial" w:hAnsi="Arial"/>
          <w:sz w:val="17"/>
          <w:szCs w:val="17"/>
          <w:color w:val="auto"/>
        </w:rPr>
      </w:pPr>
    </w:p>
    <w:p>
      <w:pPr>
        <w:ind w:left="840" w:right="100" w:hanging="656"/>
        <w:spacing w:after="0" w:line="255" w:lineRule="auto"/>
        <w:tabs>
          <w:tab w:leader="none" w:pos="827"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84" w:lineRule="exact"/>
        <w:rPr>
          <w:rFonts w:ascii="Arial" w:cs="Arial" w:eastAsia="Arial" w:hAnsi="Arial"/>
          <w:sz w:val="18"/>
          <w:szCs w:val="18"/>
          <w:color w:val="auto"/>
        </w:rPr>
      </w:pPr>
    </w:p>
    <w:p>
      <w:pPr>
        <w:ind w:left="840" w:hanging="656"/>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17" w:lineRule="exact"/>
        <w:rPr>
          <w:rFonts w:ascii="Arial" w:cs="Arial" w:eastAsia="Arial" w:hAnsi="Arial"/>
          <w:sz w:val="18"/>
          <w:szCs w:val="18"/>
          <w:color w:val="auto"/>
        </w:rPr>
      </w:pPr>
    </w:p>
    <w:p>
      <w:pPr>
        <w:ind w:left="840" w:right="40" w:hanging="656"/>
        <w:spacing w:after="0" w:line="255" w:lineRule="auto"/>
        <w:tabs>
          <w:tab w:leader="none" w:pos="827"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engaged to provide consulting or advisory services (other than as an Employee or a Director)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84" w:lineRule="exact"/>
        <w:rPr>
          <w:rFonts w:ascii="Arial" w:cs="Arial" w:eastAsia="Arial" w:hAnsi="Arial"/>
          <w:sz w:val="18"/>
          <w:szCs w:val="18"/>
          <w:color w:val="auto"/>
        </w:rPr>
      </w:pPr>
    </w:p>
    <w:p>
      <w:pPr>
        <w:ind w:left="820" w:hanging="636"/>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17" w:lineRule="exact"/>
        <w:rPr>
          <w:rFonts w:ascii="Arial" w:cs="Arial" w:eastAsia="Arial" w:hAnsi="Arial"/>
          <w:sz w:val="18"/>
          <w:szCs w:val="18"/>
          <w:color w:val="auto"/>
        </w:rPr>
      </w:pPr>
    </w:p>
    <w:p>
      <w:pPr>
        <w:ind w:left="840" w:hanging="656"/>
        <w:spacing w:after="0"/>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28" w:lineRule="exact"/>
        <w:rPr>
          <w:rFonts w:ascii="Arial" w:cs="Arial" w:eastAsia="Arial" w:hAnsi="Arial"/>
          <w:sz w:val="17"/>
          <w:szCs w:val="17"/>
          <w:color w:val="auto"/>
        </w:rPr>
      </w:pPr>
    </w:p>
    <w:p>
      <w:pPr>
        <w:ind w:left="840" w:right="40" w:hanging="656"/>
        <w:spacing w:after="0" w:line="259" w:lineRule="auto"/>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records of a Participating Company and, with respect to any Incentive Stock Option granted to such person, who is an employee for purposes of Section 422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service as a Director nor payment of a director’s fee shall be sufficient to constitute employment for purposes of the Plan.</w:t>
      </w:r>
    </w:p>
    <w:p>
      <w:pPr>
        <w:spacing w:after="0" w:line="78" w:lineRule="exact"/>
        <w:rPr>
          <w:rFonts w:ascii="Arial" w:cs="Arial" w:eastAsia="Arial" w:hAnsi="Arial"/>
          <w:sz w:val="18"/>
          <w:szCs w:val="18"/>
          <w:color w:val="auto"/>
        </w:rPr>
      </w:pPr>
    </w:p>
    <w:p>
      <w:pPr>
        <w:ind w:left="840" w:hanging="656"/>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ind w:left="840" w:hanging="656"/>
        <w:spacing w:after="0" w:line="263" w:lineRule="auto"/>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w:t>
      </w:r>
      <w:r>
        <w:rPr>
          <w:rFonts w:ascii="Arial" w:cs="Arial" w:eastAsia="Arial" w:hAnsi="Arial"/>
          <w:sz w:val="18"/>
          <w:szCs w:val="18"/>
          <w:i w:val="1"/>
          <w:iCs w:val="1"/>
          <w:color w:val="auto"/>
        </w:rPr>
        <w:t xml:space="preserve"> </w:t>
      </w:r>
      <w:r>
        <w:rPr>
          <w:rFonts w:ascii="Arial" w:cs="Arial" w:eastAsia="Arial" w:hAnsi="Arial"/>
          <w:sz w:val="18"/>
          <w:szCs w:val="18"/>
          <w:color w:val="auto"/>
        </w:rPr>
        <w:t>its discretion, or by the Company, in its discretion, if such determination is expressly allocated to the Company herein, subject to the following:</w:t>
      </w:r>
    </w:p>
    <w:p>
      <w:pPr>
        <w:spacing w:after="0" w:line="75" w:lineRule="exact"/>
        <w:rPr>
          <w:rFonts w:ascii="Arial" w:cs="Arial" w:eastAsia="Arial" w:hAnsi="Arial"/>
          <w:sz w:val="18"/>
          <w:szCs w:val="18"/>
          <w:color w:val="auto"/>
        </w:rPr>
      </w:pPr>
    </w:p>
    <w:p>
      <w:pPr>
        <w:ind w:left="1480" w:right="40" w:hanging="743"/>
        <w:spacing w:after="0" w:line="271" w:lineRule="auto"/>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Arial" w:cs="Arial" w:eastAsia="Arial" w:hAnsi="Arial"/>
          <w:sz w:val="17"/>
          <w:szCs w:val="17"/>
          <w:u w:val="single" w:color="auto"/>
          <w:color w:val="auto"/>
        </w:rPr>
        <w:t>The Wall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70" w:lineRule="exact"/>
        <w:rPr>
          <w:rFonts w:ascii="Arial" w:cs="Arial" w:eastAsia="Arial" w:hAnsi="Arial"/>
          <w:sz w:val="17"/>
          <w:szCs w:val="17"/>
          <w:color w:val="auto"/>
        </w:rPr>
      </w:pPr>
    </w:p>
    <w:p>
      <w:pPr>
        <w:ind w:left="1480" w:right="120" w:hanging="793"/>
        <w:spacing w:after="0" w:line="279" w:lineRule="auto"/>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3" w:lineRule="exact"/>
        <w:rPr>
          <w:rFonts w:ascii="Arial" w:cs="Arial" w:eastAsia="Arial" w:hAnsi="Arial"/>
          <w:sz w:val="17"/>
          <w:szCs w:val="17"/>
          <w:color w:val="auto"/>
        </w:rPr>
      </w:pPr>
    </w:p>
    <w:p>
      <w:pPr>
        <w:ind w:left="840" w:hanging="656"/>
        <w:spacing w:after="0" w:line="263" w:lineRule="auto"/>
        <w:tabs>
          <w:tab w:leader="none" w:pos="827"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resignation occurring within ninety (90) days following a Change in Control; (ii) the relocation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place of business of the Participating Company for which the Participant renders Service to a location more than 40 miles from its location as of the date of the</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00"/>
          </w:cols>
          <w:pgMar w:left="1440" w:top="881" w:right="359" w:bottom="1440" w:gutter="0" w:footer="0" w:header="0"/>
        </w:sectPr>
      </w:pPr>
    </w:p>
    <w:bookmarkStart w:id="59" w:name="page60"/>
    <w:bookmarkEnd w:id="59"/>
    <w:p>
      <w:pPr>
        <w:ind w:left="840" w:right="120"/>
        <w:spacing w:after="0" w:line="277" w:lineRule="auto"/>
        <w:rPr>
          <w:sz w:val="20"/>
          <w:szCs w:val="20"/>
          <w:color w:val="auto"/>
        </w:rPr>
      </w:pPr>
      <w:r>
        <w:rPr>
          <w:rFonts w:ascii="Arial" w:cs="Arial" w:eastAsia="Arial" w:hAnsi="Arial"/>
          <w:sz w:val="18"/>
          <w:szCs w:val="18"/>
          <w:color w:val="auto"/>
        </w:rPr>
        <w:t>Change in Control without the Participant’s consent or (iii) a material reduction in the Participant’s salary or bonus opportunity, or in the Participant’s responsibilities.</w:t>
      </w:r>
    </w:p>
    <w:p>
      <w:pPr>
        <w:spacing w:after="0" w:line="62" w:lineRule="exact"/>
        <w:rPr>
          <w:sz w:val="20"/>
          <w:szCs w:val="20"/>
          <w:color w:val="auto"/>
        </w:rPr>
      </w:pPr>
    </w:p>
    <w:p>
      <w:pPr>
        <w:ind w:left="840" w:right="320" w:hanging="656"/>
        <w:spacing w:after="0" w:line="277" w:lineRule="auto"/>
        <w:tabs>
          <w:tab w:leader="none" w:pos="833"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62" w:lineRule="exact"/>
        <w:rPr>
          <w:rFonts w:ascii="Arial" w:cs="Arial" w:eastAsia="Arial" w:hAnsi="Arial"/>
          <w:sz w:val="18"/>
          <w:szCs w:val="18"/>
          <w:color w:val="auto"/>
        </w:rPr>
      </w:pPr>
    </w:p>
    <w:p>
      <w:pPr>
        <w:ind w:left="840" w:right="80" w:hanging="656"/>
        <w:spacing w:after="0" w:line="277" w:lineRule="auto"/>
        <w:tabs>
          <w:tab w:leader="none" w:pos="827"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16 of the Exchange Act.</w:t>
      </w:r>
    </w:p>
    <w:p>
      <w:pPr>
        <w:spacing w:after="0" w:line="62" w:lineRule="exact"/>
        <w:rPr>
          <w:rFonts w:ascii="Arial" w:cs="Arial" w:eastAsia="Arial" w:hAnsi="Arial"/>
          <w:sz w:val="18"/>
          <w:szCs w:val="18"/>
          <w:color w:val="auto"/>
        </w:rPr>
      </w:pPr>
    </w:p>
    <w:p>
      <w:pPr>
        <w:ind w:left="840" w:hanging="656"/>
        <w:spacing w:after="0"/>
        <w:tabs>
          <w:tab w:leader="none" w:pos="84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member of the Board who is not an active Employee of the Company or any Subsidiary.</w:t>
      </w:r>
    </w:p>
    <w:p>
      <w:pPr>
        <w:spacing w:after="0" w:line="140" w:lineRule="exact"/>
        <w:rPr>
          <w:rFonts w:ascii="Arial" w:cs="Arial" w:eastAsia="Arial" w:hAnsi="Arial"/>
          <w:sz w:val="16"/>
          <w:szCs w:val="16"/>
          <w:color w:val="auto"/>
        </w:rPr>
      </w:pPr>
    </w:p>
    <w:p>
      <w:pPr>
        <w:ind w:left="840" w:right="340" w:hanging="656"/>
        <w:spacing w:after="0" w:line="277" w:lineRule="auto"/>
        <w:tabs>
          <w:tab w:leader="none" w:pos="828"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62" w:lineRule="exact"/>
        <w:rPr>
          <w:rFonts w:ascii="Arial" w:cs="Arial" w:eastAsia="Arial" w:hAnsi="Arial"/>
          <w:sz w:val="18"/>
          <w:szCs w:val="18"/>
          <w:color w:val="auto"/>
        </w:rPr>
      </w:pPr>
    </w:p>
    <w:p>
      <w:pPr>
        <w:ind w:left="820" w:hanging="636"/>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eligible person under Section 14 hereof.</w:t>
      </w:r>
    </w:p>
    <w:p>
      <w:pPr>
        <w:spacing w:after="0" w:line="117" w:lineRule="exact"/>
        <w:rPr>
          <w:rFonts w:ascii="Arial" w:cs="Arial" w:eastAsia="Arial" w:hAnsi="Arial"/>
          <w:sz w:val="18"/>
          <w:szCs w:val="18"/>
          <w:color w:val="auto"/>
        </w:rPr>
      </w:pPr>
    </w:p>
    <w:p>
      <w:pPr>
        <w:ind w:left="840" w:right="760" w:hanging="656"/>
        <w:spacing w:after="0" w:line="342" w:lineRule="auto"/>
        <w:tabs>
          <w:tab w:leader="none" w:pos="84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right to purchase Stock (subject to adjustment as provided in Section 4.3) pursuant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the Plan. An Option may be either an Incentive Stock Option or a Nonstatutory Stock Option.</w:t>
      </w:r>
    </w:p>
    <w:p>
      <w:pPr>
        <w:spacing w:after="0" w:line="15" w:lineRule="exact"/>
        <w:rPr>
          <w:rFonts w:ascii="Arial" w:cs="Arial" w:eastAsia="Arial" w:hAnsi="Arial"/>
          <w:sz w:val="16"/>
          <w:szCs w:val="16"/>
          <w:color w:val="auto"/>
        </w:rPr>
      </w:pPr>
    </w:p>
    <w:p>
      <w:pPr>
        <w:ind w:left="840" w:right="60" w:hanging="656"/>
        <w:spacing w:after="0" w:line="259" w:lineRule="auto"/>
        <w:tabs>
          <w:tab w:leader="none" w:pos="828"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Agreement setting forth the terms, conditions and restrictions of an Option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78" w:lineRule="exact"/>
        <w:rPr>
          <w:rFonts w:ascii="Arial" w:cs="Arial" w:eastAsia="Arial" w:hAnsi="Arial"/>
          <w:sz w:val="18"/>
          <w:szCs w:val="18"/>
          <w:color w:val="auto"/>
        </w:rPr>
      </w:pPr>
    </w:p>
    <w:p>
      <w:pPr>
        <w:ind w:left="820" w:hanging="636"/>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6.4(a)(i).</w:t>
      </w:r>
    </w:p>
    <w:p>
      <w:pPr>
        <w:spacing w:after="0" w:line="117" w:lineRule="exact"/>
        <w:rPr>
          <w:sz w:val="20"/>
          <w:szCs w:val="20"/>
          <w:color w:val="auto"/>
        </w:rPr>
      </w:pPr>
    </w:p>
    <w:p>
      <w:pPr>
        <w:ind w:left="820" w:hanging="636"/>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17.1.</w:t>
      </w:r>
    </w:p>
    <w:p>
      <w:pPr>
        <w:spacing w:after="0" w:line="117" w:lineRule="exact"/>
        <w:rPr>
          <w:sz w:val="20"/>
          <w:szCs w:val="20"/>
          <w:color w:val="auto"/>
        </w:rPr>
      </w:pPr>
    </w:p>
    <w:p>
      <w:pPr>
        <w:ind w:left="840" w:right="140" w:hanging="659"/>
        <w:spacing w:after="0" w:line="255" w:lineRule="auto"/>
        <w:tabs>
          <w:tab w:leader="none" w:pos="82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“parent corporation” as defined in Section 424(e) of the Code and any successor provisions; (ii)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84"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7"/>
          <w:szCs w:val="17"/>
          <w:color w:val="auto"/>
        </w:rPr>
        <w:t>ac.</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2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17" w:lineRule="exact"/>
        <w:rPr>
          <w:sz w:val="20"/>
          <w:szCs w:val="20"/>
          <w:color w:val="auto"/>
        </w:rPr>
      </w:pPr>
    </w:p>
    <w:p>
      <w:pPr>
        <w:ind w:left="820" w:right="480" w:hanging="647"/>
        <w:spacing w:after="0" w:line="277" w:lineRule="auto"/>
        <w:tabs>
          <w:tab w:leader="none" w:pos="80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62" w:lineRule="exact"/>
        <w:rPr>
          <w:sz w:val="20"/>
          <w:szCs w:val="20"/>
          <w:color w:val="auto"/>
        </w:rPr>
      </w:pPr>
    </w:p>
    <w:p>
      <w:pPr>
        <w:ind w:left="820" w:hanging="647"/>
        <w:spacing w:after="0" w:line="259" w:lineRule="auto"/>
        <w:tabs>
          <w:tab w:leader="none" w:pos="80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Prior 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79" w:lineRule="exact"/>
        <w:rPr>
          <w:sz w:val="20"/>
          <w:szCs w:val="20"/>
          <w:color w:val="auto"/>
        </w:rPr>
      </w:pPr>
    </w:p>
    <w:p>
      <w:pPr>
        <w:ind w:left="840" w:right="160" w:hanging="659"/>
        <w:spacing w:after="0" w:line="277" w:lineRule="auto"/>
        <w:tabs>
          <w:tab w:leader="none" w:pos="82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each calendar year, unless otherwise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w:t>
      </w:r>
    </w:p>
    <w:p>
      <w:pPr>
        <w:spacing w:after="0" w:line="62" w:lineRule="exact"/>
        <w:rPr>
          <w:sz w:val="20"/>
          <w:szCs w:val="20"/>
          <w:color w:val="auto"/>
        </w:rPr>
      </w:pPr>
    </w:p>
    <w:p>
      <w:pPr>
        <w:ind w:left="840" w:right="180" w:hanging="659"/>
        <w:spacing w:after="0" w:line="263" w:lineRule="auto"/>
        <w:tabs>
          <w:tab w:leader="none" w:pos="82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7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7"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7" w:lineRule="exact"/>
        <w:rPr>
          <w:sz w:val="20"/>
          <w:szCs w:val="20"/>
          <w:color w:val="auto"/>
        </w:rPr>
      </w:pPr>
    </w:p>
    <w:p>
      <w:pPr>
        <w:ind w:left="840" w:right="460" w:hanging="659"/>
        <w:spacing w:after="0" w:line="301" w:lineRule="auto"/>
        <w:tabs>
          <w:tab w:leader="none" w:pos="820" w:val="left"/>
        </w:tabs>
        <w:rPr>
          <w:sz w:val="20"/>
          <w:szCs w:val="20"/>
          <w:color w:val="auto"/>
        </w:rPr>
      </w:pPr>
      <w:r>
        <w:rPr>
          <w:rFonts w:ascii="Arial" w:cs="Arial" w:eastAsia="Arial" w:hAnsi="Arial"/>
          <w:sz w:val="16"/>
          <w:szCs w:val="16"/>
          <w:color w:val="auto"/>
        </w:rPr>
        <w:t>ak.</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Transferees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member of a Participant’s immediate family, trusts for the exclusive benefit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0"/>
          </w:cols>
          <w:pgMar w:left="1440" w:top="881" w:right="339" w:bottom="1440" w:gutter="0" w:footer="0" w:header="0"/>
        </w:sectPr>
      </w:pPr>
    </w:p>
    <w:bookmarkStart w:id="60" w:name="page61"/>
    <w:bookmarkEnd w:id="60"/>
    <w:p>
      <w:pPr>
        <w:ind w:left="1304"/>
        <w:spacing w:after="0"/>
        <w:rPr>
          <w:sz w:val="20"/>
          <w:szCs w:val="20"/>
          <w:color w:val="auto"/>
        </w:rPr>
      </w:pPr>
      <w:r>
        <w:rPr>
          <w:rFonts w:ascii="Arial" w:cs="Arial" w:eastAsia="Arial" w:hAnsi="Arial"/>
          <w:sz w:val="18"/>
          <w:szCs w:val="18"/>
          <w:color w:val="auto"/>
        </w:rPr>
        <w:t>descendants), spouses of descendants, and shall include step-children and relationships arising from legal adoption.</w:t>
      </w:r>
    </w:p>
    <w:p>
      <w:pPr>
        <w:spacing w:after="0" w:line="117"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17" w:lineRule="exact"/>
        <w:rPr>
          <w:sz w:val="20"/>
          <w:szCs w:val="20"/>
          <w:color w:val="auto"/>
        </w:rPr>
      </w:pPr>
    </w:p>
    <w:p>
      <w:pPr>
        <w:jc w:val="both"/>
        <w:ind w:left="1284" w:right="120" w:hanging="647"/>
        <w:spacing w:after="0" w:line="263" w:lineRule="auto"/>
        <w:tabs>
          <w:tab w:leader="none" w:pos="1264"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Section 162(m) of the Code</w:t>
      </w:r>
      <w:r>
        <w:rPr>
          <w:rFonts w:ascii="Arial" w:cs="Arial" w:eastAsia="Arial" w:hAnsi="Arial"/>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76"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an.</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17"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17" w:lineRule="exact"/>
        <w:rPr>
          <w:sz w:val="20"/>
          <w:szCs w:val="20"/>
          <w:color w:val="auto"/>
        </w:rPr>
      </w:pPr>
    </w:p>
    <w:p>
      <w:pPr>
        <w:ind w:left="1304" w:right="620" w:hanging="659"/>
        <w:spacing w:after="0" w:line="277" w:lineRule="auto"/>
        <w:tabs>
          <w:tab w:leader="none" w:pos="1284"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pursuant to Section 10 and shall be evidenced by a bookkeeping entry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equivalent of one share of Stock.</w:t>
      </w:r>
    </w:p>
    <w:p>
      <w:pPr>
        <w:spacing w:after="0" w:line="62"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6"/>
          <w:szCs w:val="16"/>
          <w:color w:val="auto"/>
        </w:rPr>
        <w:t>aq.</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Rule 16b</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means Rule 16b-3 under the Exchange Act, as amended from time to time, or any successor rule or regulation.</w:t>
      </w:r>
    </w:p>
    <w:p>
      <w:pPr>
        <w:spacing w:after="0" w:line="140"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17" w:lineRule="exact"/>
        <w:rPr>
          <w:sz w:val="20"/>
          <w:szCs w:val="20"/>
          <w:color w:val="auto"/>
        </w:rPr>
      </w:pPr>
    </w:p>
    <w:p>
      <w:pPr>
        <w:ind w:left="1284" w:hanging="647"/>
        <w:spacing w:after="0" w:line="268" w:lineRule="auto"/>
        <w:tabs>
          <w:tab w:leader="none" w:pos="1264"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Participant’s employment or service with the Participating Company Group, whether in the capacity of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6" w:lineRule="exact"/>
        <w:rPr>
          <w:sz w:val="20"/>
          <w:szCs w:val="20"/>
          <w:color w:val="auto"/>
        </w:rPr>
      </w:pPr>
    </w:p>
    <w:p>
      <w:pPr>
        <w:ind w:left="1304" w:right="40" w:hanging="659"/>
        <w:spacing w:after="0" w:line="263" w:lineRule="auto"/>
        <w:tabs>
          <w:tab w:leader="none" w:pos="1284"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pursuant to Section 7 to receive a payment equal to the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a specified number of shares of Stock on the date the SAR is exercised over the grant price of the SAR, as set forth in the applicable Award Agreement.</w:t>
      </w:r>
    </w:p>
    <w:p>
      <w:pPr>
        <w:spacing w:after="0" w:line="76"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4.3.</w:t>
      </w:r>
    </w:p>
    <w:p>
      <w:pPr>
        <w:spacing w:after="0" w:line="117" w:lineRule="exact"/>
        <w:rPr>
          <w:sz w:val="20"/>
          <w:szCs w:val="20"/>
          <w:color w:val="auto"/>
        </w:rPr>
      </w:pPr>
    </w:p>
    <w:p>
      <w:pPr>
        <w:ind w:left="1284" w:right="20" w:hanging="647"/>
        <w:spacing w:after="0" w:line="255" w:lineRule="auto"/>
        <w:tabs>
          <w:tab w:leader="none" w:pos="1264" w:val="left"/>
        </w:tabs>
        <w:rPr>
          <w:sz w:val="20"/>
          <w:szCs w:val="20"/>
          <w:color w:val="auto"/>
        </w:rPr>
      </w:pPr>
      <w:r>
        <w:rPr>
          <w:rFonts w:ascii="Arial" w:cs="Arial" w:eastAsia="Arial" w:hAnsi="Arial"/>
          <w:sz w:val="18"/>
          <w:szCs w:val="18"/>
          <w:color w:val="auto"/>
        </w:rPr>
        <w:t>av.</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84" w:lineRule="exact"/>
        <w:rPr>
          <w:sz w:val="20"/>
          <w:szCs w:val="20"/>
          <w:color w:val="auto"/>
        </w:rPr>
      </w:pPr>
    </w:p>
    <w:p>
      <w:pPr>
        <w:ind w:left="1284" w:right="220" w:hanging="647"/>
        <w:spacing w:after="0" w:line="263" w:lineRule="auto"/>
        <w:tabs>
          <w:tab w:leader="none" w:pos="1264"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72" w:lineRule="exact"/>
        <w:rPr>
          <w:sz w:val="20"/>
          <w:szCs w:val="20"/>
          <w:color w:val="auto"/>
        </w:rPr>
      </w:pPr>
    </w:p>
    <w:p>
      <w:pPr>
        <w:ind w:left="644" w:right="700" w:hanging="644"/>
        <w:spacing w:after="0" w:line="282" w:lineRule="auto"/>
        <w:tabs>
          <w:tab w:leader="none" w:pos="311"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881" w:right="339" w:bottom="1440" w:gutter="0" w:footer="0" w:header="0"/>
        </w:sectPr>
      </w:pPr>
    </w:p>
    <w:bookmarkStart w:id="61" w:name="page62"/>
    <w:bookmarkEnd w:id="61"/>
    <w:p>
      <w:pPr>
        <w:ind w:left="1292" w:right="260"/>
        <w:spacing w:after="0" w:line="277" w:lineRule="auto"/>
        <w:rPr>
          <w:sz w:val="20"/>
          <w:szCs w:val="20"/>
          <w:color w:val="auto"/>
        </w:rPr>
      </w:pPr>
      <w:r>
        <w:rPr>
          <w:rFonts w:ascii="Arial" w:cs="Arial" w:eastAsia="Arial" w:hAnsi="Arial"/>
          <w:sz w:val="18"/>
          <w:szCs w:val="18"/>
          <w:color w:val="auto"/>
        </w:rPr>
        <w:t>shall include the plural and the plural shall include the singular. Use of the term “or” is not intended to be exclusive, unless the context clearly requires otherwise.</w:t>
      </w:r>
    </w:p>
    <w:p>
      <w:pPr>
        <w:spacing w:after="0" w:line="58" w:lineRule="exact"/>
        <w:rPr>
          <w:sz w:val="20"/>
          <w:szCs w:val="20"/>
          <w:color w:val="auto"/>
        </w:rPr>
      </w:pPr>
    </w:p>
    <w:p>
      <w:pPr>
        <w:ind w:left="312" w:hanging="312"/>
        <w:spacing w:after="0"/>
        <w:tabs>
          <w:tab w:leader="none" w:pos="31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right="20" w:hanging="644"/>
        <w:spacing w:after="0" w:line="266" w:lineRule="auto"/>
        <w:tabs>
          <w:tab w:leader="none" w:pos="1292"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or of any Award shall be determined by the Committee, and such determinations shall be final and binding upon all persons having an interest in the Plan.</w:t>
      </w:r>
    </w:p>
    <w:p>
      <w:pPr>
        <w:spacing w:after="0" w:line="67" w:lineRule="exact"/>
        <w:rPr>
          <w:rFonts w:ascii="Arial" w:cs="Arial" w:eastAsia="Arial" w:hAnsi="Arial"/>
          <w:sz w:val="18"/>
          <w:szCs w:val="18"/>
          <w:color w:val="auto"/>
        </w:rPr>
      </w:pPr>
    </w:p>
    <w:p>
      <w:pPr>
        <w:ind w:left="1292" w:right="180" w:hanging="644"/>
        <w:spacing w:after="0" w:line="314" w:lineRule="auto"/>
        <w:tabs>
          <w:tab w:leader="none" w:pos="1292" w:val="left"/>
        </w:tabs>
        <w:numPr>
          <w:ilvl w:val="1"/>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Authority of Officers. </w:t>
      </w:r>
      <w:r>
        <w:rPr>
          <w:rFonts w:ascii="Arial" w:cs="Arial" w:eastAsia="Arial" w:hAnsi="Arial"/>
          <w:sz w:val="16"/>
          <w:szCs w:val="16"/>
          <w:color w:val="auto"/>
        </w:rPr>
        <w:t>Any officer of a Participating Company shall have the authority to act on behalf of the Company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matter, right, obligation, determination or election which is the responsibility of, or which is allocated, to the Company herein, provided the officer has apparent authority with respect to such matter, right, obligation, determination or election.</w:t>
      </w:r>
    </w:p>
    <w:p>
      <w:pPr>
        <w:spacing w:after="0" w:line="33" w:lineRule="exact"/>
        <w:rPr>
          <w:rFonts w:ascii="Arial" w:cs="Arial" w:eastAsia="Arial" w:hAnsi="Arial"/>
          <w:sz w:val="16"/>
          <w:szCs w:val="16"/>
          <w:color w:val="auto"/>
        </w:rPr>
      </w:pPr>
    </w:p>
    <w:p>
      <w:pPr>
        <w:ind w:left="1292" w:right="160" w:hanging="644"/>
        <w:spacing w:after="0" w:line="282" w:lineRule="auto"/>
        <w:tabs>
          <w:tab w:leader="none" w:pos="1292"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and final power and authority, in its discretion:</w:t>
      </w:r>
    </w:p>
    <w:p>
      <w:pPr>
        <w:spacing w:after="0" w:line="57" w:lineRule="exact"/>
        <w:rPr>
          <w:rFonts w:ascii="Arial" w:cs="Arial" w:eastAsia="Arial" w:hAnsi="Arial"/>
          <w:sz w:val="18"/>
          <w:szCs w:val="18"/>
          <w:color w:val="auto"/>
        </w:rPr>
      </w:pPr>
    </w:p>
    <w:p>
      <w:pPr>
        <w:ind w:left="1952" w:right="380" w:hanging="656"/>
        <w:spacing w:after="0" w:line="277" w:lineRule="auto"/>
        <w:tabs>
          <w:tab w:leader="none" w:pos="194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62" w:lineRule="exact"/>
        <w:rPr>
          <w:rFonts w:ascii="Arial" w:cs="Arial" w:eastAsia="Arial" w:hAnsi="Arial"/>
          <w:sz w:val="18"/>
          <w:szCs w:val="18"/>
          <w:color w:val="auto"/>
        </w:rPr>
      </w:pPr>
    </w:p>
    <w:p>
      <w:pPr>
        <w:ind w:left="1952" w:hanging="656"/>
        <w:spacing w:after="0"/>
        <w:tabs>
          <w:tab w:leader="none" w:pos="195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17" w:lineRule="exact"/>
        <w:rPr>
          <w:rFonts w:ascii="Arial" w:cs="Arial" w:eastAsia="Arial" w:hAnsi="Arial"/>
          <w:sz w:val="18"/>
          <w:szCs w:val="18"/>
          <w:color w:val="auto"/>
        </w:rPr>
      </w:pPr>
    </w:p>
    <w:p>
      <w:pPr>
        <w:ind w:left="1952" w:hanging="656"/>
        <w:spacing w:after="0" w:line="290" w:lineRule="auto"/>
        <w:tabs>
          <w:tab w:leader="none" w:pos="1952" w:val="left"/>
        </w:tabs>
        <w:numPr>
          <w:ilvl w:val="2"/>
          <w:numId w:val="97"/>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57" w:lineRule="exact"/>
        <w:rPr>
          <w:rFonts w:ascii="Arial" w:cs="Arial" w:eastAsia="Arial" w:hAnsi="Arial"/>
          <w:sz w:val="16"/>
          <w:szCs w:val="16"/>
          <w:color w:val="auto"/>
        </w:rPr>
      </w:pPr>
    </w:p>
    <w:p>
      <w:pPr>
        <w:ind w:left="1932" w:hanging="636"/>
        <w:spacing w:after="0"/>
        <w:tabs>
          <w:tab w:leader="none" w:pos="19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to approve one or more forms of Award Agreement or Option Agreement;</w:t>
      </w:r>
    </w:p>
    <w:p>
      <w:pPr>
        <w:spacing w:after="0" w:line="117" w:lineRule="exact"/>
        <w:rPr>
          <w:rFonts w:ascii="Arial" w:cs="Arial" w:eastAsia="Arial" w:hAnsi="Arial"/>
          <w:sz w:val="18"/>
          <w:szCs w:val="18"/>
          <w:color w:val="auto"/>
        </w:rPr>
      </w:pPr>
    </w:p>
    <w:p>
      <w:pPr>
        <w:ind w:left="1952" w:right="40" w:hanging="656"/>
        <w:spacing w:after="0" w:line="269" w:lineRule="auto"/>
        <w:tabs>
          <w:tab w:leader="none" w:pos="1949" w:val="left"/>
        </w:tabs>
        <w:numPr>
          <w:ilvl w:val="2"/>
          <w:numId w:val="97"/>
        </w:numPr>
        <w:rPr>
          <w:rFonts w:ascii="Arial" w:cs="Arial" w:eastAsia="Arial" w:hAnsi="Arial"/>
          <w:sz w:val="17"/>
          <w:szCs w:val="17"/>
          <w:color w:val="auto"/>
        </w:rPr>
      </w:pPr>
      <w:r>
        <w:rPr>
          <w:rFonts w:ascii="Arial" w:cs="Arial" w:eastAsia="Arial" w:hAnsi="Arial"/>
          <w:sz w:val="17"/>
          <w:szCs w:val="17"/>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anything in this Plan to the contrary: (i)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73" w:lineRule="exact"/>
        <w:rPr>
          <w:rFonts w:ascii="Arial" w:cs="Arial" w:eastAsia="Arial" w:hAnsi="Arial"/>
          <w:sz w:val="17"/>
          <w:szCs w:val="17"/>
          <w:color w:val="auto"/>
        </w:rPr>
      </w:pPr>
    </w:p>
    <w:p>
      <w:pPr>
        <w:jc w:val="both"/>
        <w:ind w:left="1952" w:right="380" w:hanging="656"/>
        <w:spacing w:after="0" w:line="342" w:lineRule="auto"/>
        <w:tabs>
          <w:tab w:leader="none" w:pos="1952" w:val="left"/>
        </w:tabs>
        <w:numPr>
          <w:ilvl w:val="2"/>
          <w:numId w:val="97"/>
        </w:numPr>
        <w:rPr>
          <w:rFonts w:ascii="Arial" w:cs="Arial" w:eastAsia="Arial" w:hAnsi="Arial"/>
          <w:sz w:val="16"/>
          <w:szCs w:val="16"/>
          <w:color w:val="auto"/>
        </w:rPr>
      </w:pPr>
      <w:r>
        <w:rPr>
          <w:rFonts w:ascii="Arial" w:cs="Arial" w:eastAsia="Arial" w:hAnsi="Arial"/>
          <w:sz w:val="16"/>
          <w:szCs w:val="16"/>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15" w:lineRule="exact"/>
        <w:rPr>
          <w:rFonts w:ascii="Arial" w:cs="Arial" w:eastAsia="Arial" w:hAnsi="Arial"/>
          <w:sz w:val="16"/>
          <w:szCs w:val="16"/>
          <w:color w:val="auto"/>
        </w:rPr>
      </w:pPr>
    </w:p>
    <w:p>
      <w:pPr>
        <w:ind w:left="1952" w:right="160" w:hanging="656"/>
        <w:spacing w:after="0" w:line="311" w:lineRule="auto"/>
        <w:tabs>
          <w:tab w:leader="none" w:pos="1952" w:val="left"/>
        </w:tabs>
        <w:numPr>
          <w:ilvl w:val="2"/>
          <w:numId w:val="97"/>
        </w:numPr>
        <w:rPr>
          <w:rFonts w:ascii="Arial" w:cs="Arial" w:eastAsia="Arial" w:hAnsi="Arial"/>
          <w:sz w:val="16"/>
          <w:szCs w:val="16"/>
          <w:color w:val="auto"/>
        </w:rPr>
      </w:pPr>
      <w:r>
        <w:rPr>
          <w:rFonts w:ascii="Arial" w:cs="Arial" w:eastAsia="Arial" w:hAnsi="Arial"/>
          <w:sz w:val="16"/>
          <w:szCs w:val="16"/>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40" w:lineRule="exact"/>
        <w:rPr>
          <w:rFonts w:ascii="Arial" w:cs="Arial" w:eastAsia="Arial" w:hAnsi="Arial"/>
          <w:sz w:val="16"/>
          <w:szCs w:val="16"/>
          <w:color w:val="auto"/>
        </w:rPr>
      </w:pPr>
    </w:p>
    <w:p>
      <w:pPr>
        <w:ind w:left="1952" w:right="600" w:hanging="656"/>
        <w:spacing w:after="0" w:line="311" w:lineRule="auto"/>
        <w:tabs>
          <w:tab w:leader="none" w:pos="1939" w:val="left"/>
        </w:tabs>
        <w:numPr>
          <w:ilvl w:val="2"/>
          <w:numId w:val="97"/>
        </w:numPr>
        <w:rPr>
          <w:rFonts w:ascii="Arial" w:cs="Arial" w:eastAsia="Arial" w:hAnsi="Arial"/>
          <w:sz w:val="16"/>
          <w:szCs w:val="16"/>
          <w:color w:val="auto"/>
        </w:rPr>
      </w:pPr>
      <w:r>
        <w:rPr>
          <w:rFonts w:ascii="Arial" w:cs="Arial" w:eastAsia="Arial" w:hAnsi="Arial"/>
          <w:sz w:val="16"/>
          <w:szCs w:val="16"/>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32"/>
          </w:cols>
          <w:pgMar w:left="328" w:top="881" w:right="339" w:bottom="1440" w:gutter="0" w:footer="0" w:header="0"/>
        </w:sectPr>
      </w:pPr>
    </w:p>
    <w:bookmarkStart w:id="62" w:name="page63"/>
    <w:bookmarkEnd w:id="62"/>
    <w:p>
      <w:pPr>
        <w:ind w:left="1952" w:right="400" w:hanging="656"/>
        <w:spacing w:after="0" w:line="263" w:lineRule="auto"/>
        <w:tabs>
          <w:tab w:leader="none" w:pos="1939" w:val="left"/>
        </w:tabs>
        <w:numPr>
          <w:ilvl w:val="2"/>
          <w:numId w:val="98"/>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71" w:lineRule="exact"/>
        <w:rPr>
          <w:rFonts w:ascii="Arial" w:cs="Arial" w:eastAsia="Arial" w:hAnsi="Arial"/>
          <w:sz w:val="18"/>
          <w:szCs w:val="18"/>
          <w:color w:val="auto"/>
        </w:rPr>
      </w:pPr>
    </w:p>
    <w:p>
      <w:pPr>
        <w:ind w:left="1292" w:hanging="644"/>
        <w:spacing w:after="0" w:line="266" w:lineRule="auto"/>
        <w:tabs>
          <w:tab w:leader="none" w:pos="959"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registered pursuant to Section 12 of the Exchange Act, the Plan shall be administered in compliance with the requirements, if any, of Rule 16b-3.</w:t>
      </w:r>
    </w:p>
    <w:p>
      <w:pPr>
        <w:spacing w:after="0" w:line="67" w:lineRule="exact"/>
        <w:rPr>
          <w:rFonts w:ascii="Arial" w:cs="Arial" w:eastAsia="Arial" w:hAnsi="Arial"/>
          <w:sz w:val="18"/>
          <w:szCs w:val="18"/>
          <w:color w:val="auto"/>
        </w:rPr>
      </w:pPr>
    </w:p>
    <w:p>
      <w:pPr>
        <w:ind w:left="1292" w:right="20" w:hanging="644"/>
        <w:spacing w:after="0" w:line="269" w:lineRule="auto"/>
        <w:tabs>
          <w:tab w:leader="none" w:pos="959" w:val="left"/>
        </w:tabs>
        <w:numPr>
          <w:ilvl w:val="1"/>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73" w:lineRule="exact"/>
        <w:rPr>
          <w:rFonts w:ascii="Arial" w:cs="Arial" w:eastAsia="Arial" w:hAnsi="Arial"/>
          <w:sz w:val="17"/>
          <w:szCs w:val="17"/>
          <w:color w:val="auto"/>
        </w:rPr>
      </w:pPr>
    </w:p>
    <w:p>
      <w:pPr>
        <w:ind w:left="312" w:hanging="312"/>
        <w:spacing w:after="0"/>
        <w:tabs>
          <w:tab w:leader="none" w:pos="31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hanging="644"/>
        <w:spacing w:after="0" w:line="287" w:lineRule="auto"/>
        <w:tabs>
          <w:tab w:leader="none" w:pos="1292" w:val="left"/>
        </w:tabs>
        <w:numPr>
          <w:ilvl w:val="1"/>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Maximum Number of Shares Issuable. </w:t>
      </w:r>
      <w:r>
        <w:rPr>
          <w:rFonts w:ascii="Arial" w:cs="Arial" w:eastAsia="Arial" w:hAnsi="Arial"/>
          <w:sz w:val="16"/>
          <w:szCs w:val="16"/>
          <w:color w:val="auto"/>
        </w:rPr>
        <w:t>Subject to adjustment as provided in Section 4.3, the maximum aggregate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that may be issued under the Plan shall be </w:t>
      </w:r>
      <w:r>
        <w:rPr>
          <w:rFonts w:ascii="Arial" w:cs="Arial" w:eastAsia="Arial" w:hAnsi="Arial"/>
          <w:sz w:val="16"/>
          <w:szCs w:val="16"/>
          <w:b w:val="1"/>
          <w:bCs w:val="1"/>
          <w:color w:val="auto"/>
        </w:rPr>
        <w:t>5,648,100</w:t>
      </w:r>
      <w:r>
        <w:rPr>
          <w:rFonts w:ascii="Arial" w:cs="Arial" w:eastAsia="Arial" w:hAnsi="Arial"/>
          <w:sz w:val="16"/>
          <w:szCs w:val="16"/>
          <w:color w:val="auto"/>
        </w:rPr>
        <w:t>.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59" w:lineRule="exact"/>
        <w:rPr>
          <w:rFonts w:ascii="Arial" w:cs="Arial" w:eastAsia="Arial" w:hAnsi="Arial"/>
          <w:sz w:val="16"/>
          <w:szCs w:val="16"/>
          <w:color w:val="auto"/>
        </w:rPr>
      </w:pPr>
    </w:p>
    <w:p>
      <w:pPr>
        <w:ind w:left="1292" w:right="440" w:hanging="644"/>
        <w:spacing w:after="0" w:line="281" w:lineRule="auto"/>
        <w:tabs>
          <w:tab w:leader="none" w:pos="1292" w:val="left"/>
        </w:tabs>
        <w:numPr>
          <w:ilvl w:val="1"/>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Award Limits. </w:t>
      </w:r>
      <w:r>
        <w:rPr>
          <w:rFonts w:ascii="Arial" w:cs="Arial" w:eastAsia="Arial" w:hAnsi="Arial"/>
          <w:sz w:val="17"/>
          <w:szCs w:val="17"/>
          <w:color w:val="auto"/>
        </w:rPr>
        <w:t>Subject to adjustment as provided in Section 4.3, the maximum aggregate number of shares of Stock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56" w:lineRule="exact"/>
        <w:rPr>
          <w:rFonts w:ascii="Arial" w:cs="Arial" w:eastAsia="Arial" w:hAnsi="Arial"/>
          <w:sz w:val="17"/>
          <w:szCs w:val="17"/>
          <w:color w:val="auto"/>
        </w:rPr>
      </w:pPr>
    </w:p>
    <w:p>
      <w:pPr>
        <w:ind w:left="1292" w:hanging="644"/>
        <w:spacing w:after="0"/>
        <w:tabs>
          <w:tab w:leader="none" w:pos="1292"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952" w:right="60" w:hanging="656"/>
        <w:spacing w:after="0" w:line="269" w:lineRule="auto"/>
        <w:tabs>
          <w:tab w:leader="none" w:pos="1942" w:val="left"/>
        </w:tabs>
        <w:numPr>
          <w:ilvl w:val="2"/>
          <w:numId w:val="100"/>
        </w:numPr>
        <w:rPr>
          <w:rFonts w:ascii="Arial" w:cs="Arial" w:eastAsia="Arial" w:hAnsi="Arial"/>
          <w:sz w:val="17"/>
          <w:szCs w:val="17"/>
          <w:color w:val="auto"/>
        </w:rPr>
      </w:pPr>
      <w:r>
        <w:rPr>
          <w:rFonts w:ascii="Arial" w:cs="Arial" w:eastAsia="Arial" w:hAnsi="Arial"/>
          <w:sz w:val="17"/>
          <w:szCs w:val="17"/>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2"/>
          </w:cols>
          <w:pgMar w:left="328" w:top="881" w:right="339" w:bottom="1440" w:gutter="0" w:footer="0" w:header="0"/>
        </w:sectPr>
      </w:pPr>
    </w:p>
    <w:bookmarkStart w:id="63" w:name="page64"/>
    <w:bookmarkEnd w:id="63"/>
    <w:p>
      <w:pPr>
        <w:ind w:left="1960" w:right="100"/>
        <w:spacing w:after="0" w:line="286" w:lineRule="auto"/>
        <w:rPr>
          <w:sz w:val="20"/>
          <w:szCs w:val="20"/>
          <w:color w:val="auto"/>
        </w:rPr>
      </w:pPr>
      <w:r>
        <w:rPr>
          <w:rFonts w:ascii="Arial" w:cs="Arial" w:eastAsia="Arial" w:hAnsi="Arial"/>
          <w:sz w:val="17"/>
          <w:szCs w:val="17"/>
          <w:color w:val="auto"/>
        </w:rPr>
        <w:t>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57" w:lineRule="exact"/>
        <w:rPr>
          <w:sz w:val="20"/>
          <w:szCs w:val="20"/>
          <w:color w:val="auto"/>
        </w:rPr>
      </w:pPr>
    </w:p>
    <w:p>
      <w:pPr>
        <w:ind w:left="1960" w:right="20" w:hanging="656"/>
        <w:spacing w:after="0" w:line="288" w:lineRule="auto"/>
        <w:tabs>
          <w:tab w:leader="none" w:pos="196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60" w:lineRule="exact"/>
        <w:rPr>
          <w:rFonts w:ascii="Arial" w:cs="Arial" w:eastAsia="Arial" w:hAnsi="Arial"/>
          <w:sz w:val="16"/>
          <w:szCs w:val="16"/>
          <w:color w:val="auto"/>
        </w:rPr>
      </w:pPr>
    </w:p>
    <w:p>
      <w:pPr>
        <w:ind w:left="1960" w:right="80" w:hanging="656"/>
        <w:spacing w:after="0" w:line="263" w:lineRule="auto"/>
        <w:tabs>
          <w:tab w:leader="none" w:pos="195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right="60" w:hanging="644"/>
        <w:spacing w:after="0" w:line="281" w:lineRule="auto"/>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56" w:lineRule="exact"/>
        <w:rPr>
          <w:rFonts w:ascii="Arial" w:cs="Arial" w:eastAsia="Arial" w:hAnsi="Arial"/>
          <w:sz w:val="17"/>
          <w:szCs w:val="17"/>
          <w:color w:val="auto"/>
        </w:rPr>
      </w:pPr>
    </w:p>
    <w:p>
      <w:pPr>
        <w:ind w:left="1300" w:right="220" w:hanging="644"/>
        <w:spacing w:after="0" w:line="281" w:lineRule="auto"/>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Option Grant Restrictions. </w:t>
      </w:r>
      <w:r>
        <w:rPr>
          <w:rFonts w:ascii="Arial" w:cs="Arial" w:eastAsia="Arial" w:hAnsi="Arial"/>
          <w:sz w:val="17"/>
          <w:szCs w:val="17"/>
          <w:color w:val="auto"/>
        </w:rPr>
        <w:t>Any person who is not an Employee on the effective date of the grant of an Option to such person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56" w:lineRule="exact"/>
        <w:rPr>
          <w:rFonts w:ascii="Arial" w:cs="Arial" w:eastAsia="Arial" w:hAnsi="Arial"/>
          <w:sz w:val="17"/>
          <w:szCs w:val="17"/>
          <w:color w:val="auto"/>
        </w:rPr>
      </w:pPr>
    </w:p>
    <w:p>
      <w:pPr>
        <w:ind w:left="1300" w:hanging="644"/>
        <w:spacing w:after="0" w:line="288" w:lineRule="auto"/>
        <w:tabs>
          <w:tab w:leader="none" w:pos="1300" w:val="left"/>
        </w:tabs>
        <w:numPr>
          <w:ilvl w:val="1"/>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Limitation. </w:t>
      </w:r>
      <w:r>
        <w:rPr>
          <w:rFonts w:ascii="Arial" w:cs="Arial" w:eastAsia="Arial" w:hAnsi="Arial"/>
          <w:sz w:val="16"/>
          <w:szCs w:val="16"/>
          <w:color w:val="auto"/>
        </w:rPr>
        <w:t>To the extent that Options designated as Incentive Stock Options (granted under all stock option plans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55" w:lineRule="exact"/>
        <w:rPr>
          <w:rFonts w:ascii="Arial" w:cs="Arial" w:eastAsia="Arial" w:hAnsi="Arial"/>
          <w:sz w:val="16"/>
          <w:szCs w:val="16"/>
          <w:color w:val="auto"/>
        </w:rPr>
      </w:pPr>
    </w:p>
    <w:p>
      <w:pPr>
        <w:ind w:left="320" w:hanging="312"/>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75" w:lineRule="exact"/>
        <w:rPr>
          <w:sz w:val="20"/>
          <w:szCs w:val="20"/>
          <w:color w:val="auto"/>
        </w:rPr>
      </w:pPr>
    </w:p>
    <w:p>
      <w:pPr>
        <w:jc w:val="both"/>
        <w:ind w:left="1300" w:hanging="644"/>
        <w:spacing w:after="0" w:line="303"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The exercise price for each Option shall be established in the discretion of the Committee; provided, however, that (a)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1" w:right="339" w:bottom="1440" w:gutter="0" w:footer="0" w:header="0"/>
        </w:sectPr>
      </w:pPr>
    </w:p>
    <w:bookmarkStart w:id="64" w:name="page65"/>
    <w:bookmarkEnd w:id="64"/>
    <w:p>
      <w:pPr>
        <w:jc w:val="both"/>
        <w:ind w:left="644"/>
        <w:spacing w:after="0" w:line="263" w:lineRule="auto"/>
        <w:rPr>
          <w:sz w:val="20"/>
          <w:szCs w:val="20"/>
          <w:color w:val="auto"/>
        </w:rPr>
      </w:pPr>
      <w:r>
        <w:rPr>
          <w:rFonts w:ascii="Arial" w:cs="Arial" w:eastAsia="Arial" w:hAnsi="Arial"/>
          <w:sz w:val="18"/>
          <w:szCs w:val="18"/>
          <w:color w:val="auto"/>
        </w:rPr>
        <w:t>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2" w:lineRule="exact"/>
        <w:rPr>
          <w:sz w:val="20"/>
          <w:szCs w:val="20"/>
          <w:color w:val="auto"/>
        </w:rPr>
      </w:pPr>
    </w:p>
    <w:p>
      <w:pPr>
        <w:jc w:val="both"/>
        <w:ind w:left="644" w:hanging="644"/>
        <w:spacing w:after="0" w:line="271" w:lineRule="auto"/>
        <w:tabs>
          <w:tab w:leader="none" w:pos="644"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 xml:space="preserve">Exercisability and Term of Options. </w:t>
      </w:r>
      <w:r>
        <w:rPr>
          <w:rFonts w:ascii="Arial" w:cs="Arial" w:eastAsia="Arial" w:hAnsi="Arial"/>
          <w:sz w:val="17"/>
          <w:szCs w:val="17"/>
          <w:color w:val="auto"/>
        </w:rPr>
        <w:t>Options shall be exercisable at such time or times, or upon such event or events,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65" w:lineRule="exact"/>
        <w:rPr>
          <w:rFonts w:ascii="Arial" w:cs="Arial" w:eastAsia="Arial" w:hAnsi="Arial"/>
          <w:sz w:val="17"/>
          <w:szCs w:val="17"/>
          <w:color w:val="auto"/>
        </w:rPr>
      </w:pPr>
    </w:p>
    <w:p>
      <w:pPr>
        <w:ind w:left="644" w:hanging="644"/>
        <w:spacing w:after="0"/>
        <w:tabs>
          <w:tab w:leader="none" w:pos="644"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17" w:lineRule="exact"/>
        <w:rPr>
          <w:rFonts w:ascii="Arial" w:cs="Arial" w:eastAsia="Arial" w:hAnsi="Arial"/>
          <w:sz w:val="18"/>
          <w:szCs w:val="18"/>
          <w:color w:val="auto"/>
        </w:rPr>
      </w:pPr>
    </w:p>
    <w:p>
      <w:pPr>
        <w:ind w:left="1304" w:right="20" w:hanging="656"/>
        <w:spacing w:after="0" w:line="268" w:lineRule="auto"/>
        <w:tabs>
          <w:tab w:leader="none" w:pos="1294" w:val="left"/>
        </w:tabs>
        <w:numPr>
          <w:ilvl w:val="1"/>
          <w:numId w:val="104"/>
        </w:numPr>
        <w:rPr>
          <w:rFonts w:ascii="Arial" w:cs="Arial" w:eastAsia="Arial" w:hAnsi="Arial"/>
          <w:sz w:val="17"/>
          <w:szCs w:val="17"/>
          <w:color w:val="auto"/>
        </w:rPr>
      </w:pPr>
      <w:r>
        <w:rPr>
          <w:rFonts w:ascii="Arial" w:cs="Arial" w:eastAsia="Arial" w:hAnsi="Arial"/>
          <w:sz w:val="17"/>
          <w:szCs w:val="17"/>
          <w:b w:val="1"/>
          <w:bCs w:val="1"/>
          <w:color w:val="auto"/>
        </w:rPr>
        <w:t>Forms of Consideration Authorized</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below, payment of the exercise price for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7"/>
          <w:szCs w:val="17"/>
          <w:b w:val="1"/>
          <w:bCs w:val="1"/>
          <w:i w:val="1"/>
          <w:iCs w:val="1"/>
          <w:color w:val="auto"/>
        </w:rPr>
        <w:t>Cashless Exercise</w:t>
      </w:r>
      <w:r>
        <w:rPr>
          <w:rFonts w:ascii="Arial" w:cs="Arial" w:eastAsia="Arial" w:hAnsi="Arial"/>
          <w:sz w:val="17"/>
          <w:szCs w:val="17"/>
          <w:i w:val="1"/>
          <w:iCs w:val="1"/>
          <w:color w:val="auto"/>
        </w:rPr>
        <w:t>”</w:t>
      </w:r>
      <w:r>
        <w:rPr>
          <w:rFonts w:ascii="Arial" w:cs="Arial" w:eastAsia="Arial" w:hAnsi="Arial"/>
          <w:sz w:val="17"/>
          <w:szCs w:val="17"/>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73" w:lineRule="exact"/>
        <w:rPr>
          <w:rFonts w:ascii="Arial" w:cs="Arial" w:eastAsia="Arial" w:hAnsi="Arial"/>
          <w:sz w:val="17"/>
          <w:szCs w:val="17"/>
          <w:color w:val="auto"/>
        </w:rPr>
      </w:pPr>
    </w:p>
    <w:p>
      <w:pPr>
        <w:ind w:left="1304" w:hanging="656"/>
        <w:spacing w:after="0"/>
        <w:tabs>
          <w:tab w:leader="none" w:pos="1304"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17" w:lineRule="exact"/>
        <w:rPr>
          <w:rFonts w:ascii="Arial" w:cs="Arial" w:eastAsia="Arial" w:hAnsi="Arial"/>
          <w:sz w:val="18"/>
          <w:szCs w:val="18"/>
          <w:color w:val="auto"/>
        </w:rPr>
      </w:pPr>
    </w:p>
    <w:p>
      <w:pPr>
        <w:ind w:left="1944" w:right="240" w:hanging="743"/>
        <w:spacing w:after="0" w:line="314" w:lineRule="auto"/>
        <w:tabs>
          <w:tab w:leader="none" w:pos="1944" w:val="left"/>
        </w:tabs>
        <w:numPr>
          <w:ilvl w:val="2"/>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Tender of Stock. </w:t>
      </w:r>
      <w:r>
        <w:rPr>
          <w:rFonts w:ascii="Arial" w:cs="Arial" w:eastAsia="Arial" w:hAnsi="Arial"/>
          <w:sz w:val="16"/>
          <w:szCs w:val="16"/>
          <w:color w:val="auto"/>
        </w:rPr>
        <w:t>Notwithstanding the foregoing, an Option may not be exercised by tender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attestation to the ownership, of shares of Stock to the extent such tender or attestation would constitute a violation of the provisions of any law, regulation or agreement restricting the redemption of the Company’s stock.</w:t>
      </w:r>
    </w:p>
    <w:p>
      <w:pPr>
        <w:spacing w:after="0" w:line="33" w:lineRule="exact"/>
        <w:rPr>
          <w:rFonts w:ascii="Arial" w:cs="Arial" w:eastAsia="Arial" w:hAnsi="Arial"/>
          <w:sz w:val="16"/>
          <w:szCs w:val="16"/>
          <w:b w:val="1"/>
          <w:bCs w:val="1"/>
          <w:color w:val="auto"/>
        </w:rPr>
      </w:pPr>
    </w:p>
    <w:p>
      <w:pPr>
        <w:ind w:left="1944" w:hanging="793"/>
        <w:spacing w:after="0" w:line="266" w:lineRule="auto"/>
        <w:tabs>
          <w:tab w:leader="none" w:pos="1944" w:val="left"/>
        </w:tabs>
        <w:numPr>
          <w:ilvl w:val="2"/>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to establish, decline to approve or terminate any program or procedures for the exercise of Options by means of a Cashless Exercise.</w:t>
      </w:r>
    </w:p>
    <w:p>
      <w:pPr>
        <w:spacing w:after="0" w:line="67" w:lineRule="exact"/>
        <w:rPr>
          <w:rFonts w:ascii="Arial" w:cs="Arial" w:eastAsia="Arial" w:hAnsi="Arial"/>
          <w:sz w:val="18"/>
          <w:szCs w:val="18"/>
          <w:color w:val="auto"/>
        </w:rPr>
      </w:pPr>
    </w:p>
    <w:p>
      <w:pPr>
        <w:ind w:left="324" w:hanging="324"/>
        <w:spacing w:after="0"/>
        <w:tabs>
          <w:tab w:leader="none" w:pos="324"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17" w:lineRule="exact"/>
        <w:rPr>
          <w:rFonts w:ascii="Arial" w:cs="Arial" w:eastAsia="Arial" w:hAnsi="Arial"/>
          <w:sz w:val="18"/>
          <w:szCs w:val="18"/>
          <w:color w:val="auto"/>
        </w:rPr>
      </w:pPr>
    </w:p>
    <w:p>
      <w:pPr>
        <w:ind w:left="1304" w:hanging="656"/>
        <w:spacing w:after="0" w:line="261" w:lineRule="auto"/>
        <w:tabs>
          <w:tab w:leader="none" w:pos="1001"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color w:val="auto"/>
        </w:rPr>
        <w:t>. Subject to earlier termination of the Option as otherwise provided herein and unless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71" w:lineRule="exact"/>
        <w:rPr>
          <w:rFonts w:ascii="Arial" w:cs="Arial" w:eastAsia="Arial" w:hAnsi="Arial"/>
          <w:sz w:val="18"/>
          <w:szCs w:val="18"/>
          <w:color w:val="auto"/>
        </w:rPr>
      </w:pPr>
    </w:p>
    <w:p>
      <w:pPr>
        <w:ind w:left="1924" w:hanging="648"/>
        <w:spacing w:after="0" w:line="277" w:lineRule="auto"/>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7"/>
          <w:szCs w:val="17"/>
          <w:b w:val="1"/>
          <w:bCs w:val="1"/>
          <w:color w:val="auto"/>
        </w:rPr>
        <w:t>Disability</w:t>
      </w:r>
      <w:r>
        <w:rPr>
          <w:rFonts w:ascii="Arial" w:cs="Arial" w:eastAsia="Arial" w:hAnsi="Arial"/>
          <w:sz w:val="17"/>
          <w:szCs w:val="17"/>
          <w:color w:val="auto"/>
        </w:rPr>
        <w:t>. If the Participant’s Service with the Participating Company Group terminates because of the Disability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w:t>
      </w: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881" w:right="339" w:bottom="1440" w:gutter="0" w:footer="0" w:header="0"/>
        </w:sectPr>
      </w:pPr>
    </w:p>
    <w:bookmarkStart w:id="65" w:name="page66"/>
    <w:bookmarkEnd w:id="65"/>
    <w:p>
      <w:pPr>
        <w:ind w:left="2600"/>
        <w:spacing w:after="0" w:line="277" w:lineRule="auto"/>
        <w:rPr>
          <w:sz w:val="20"/>
          <w:szCs w:val="20"/>
          <w:color w:val="auto"/>
        </w:rPr>
      </w:pPr>
      <w:r>
        <w:rPr>
          <w:rFonts w:ascii="Arial" w:cs="Arial" w:eastAsia="Arial" w:hAnsi="Arial"/>
          <w:sz w:val="18"/>
          <w:szCs w:val="18"/>
          <w:color w:val="auto"/>
        </w:rPr>
        <w:t>no later than the date of expiration of the Option’s term as set forth in the Option Agreement evidencing such Option (the “</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w:t>
      </w:r>
    </w:p>
    <w:p>
      <w:pPr>
        <w:spacing w:after="0" w:line="58" w:lineRule="exact"/>
        <w:rPr>
          <w:sz w:val="20"/>
          <w:szCs w:val="20"/>
          <w:color w:val="auto"/>
        </w:rPr>
      </w:pPr>
    </w:p>
    <w:p>
      <w:pPr>
        <w:jc w:val="both"/>
        <w:ind w:left="2600" w:hanging="648"/>
        <w:spacing w:after="0" w:line="272" w:lineRule="auto"/>
        <w:tabs>
          <w:tab w:leader="none" w:pos="2596" w:val="left"/>
        </w:tabs>
        <w:numPr>
          <w:ilvl w:val="3"/>
          <w:numId w:val="105"/>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If the Participant’s Service with the Participating Company Group terminates because of the death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63" w:lineRule="exact"/>
        <w:rPr>
          <w:rFonts w:ascii="Arial" w:cs="Arial" w:eastAsia="Arial" w:hAnsi="Arial"/>
          <w:sz w:val="17"/>
          <w:szCs w:val="17"/>
          <w:i w:val="1"/>
          <w:iCs w:val="1"/>
          <w:color w:val="auto"/>
        </w:rPr>
      </w:pPr>
    </w:p>
    <w:p>
      <w:pPr>
        <w:ind w:left="2600" w:hanging="648"/>
        <w:spacing w:after="0" w:line="282" w:lineRule="auto"/>
        <w:tabs>
          <w:tab w:leader="none" w:pos="2592" w:val="left"/>
        </w:tabs>
        <w:numPr>
          <w:ilvl w:val="3"/>
          <w:numId w:val="105"/>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53" w:lineRule="exact"/>
        <w:rPr>
          <w:rFonts w:ascii="Arial" w:cs="Arial" w:eastAsia="Arial" w:hAnsi="Arial"/>
          <w:sz w:val="18"/>
          <w:szCs w:val="18"/>
          <w:color w:val="auto"/>
        </w:rPr>
      </w:pPr>
    </w:p>
    <w:p>
      <w:pPr>
        <w:jc w:val="both"/>
        <w:ind w:left="2600" w:hanging="648"/>
        <w:spacing w:after="0" w:line="298" w:lineRule="auto"/>
        <w:tabs>
          <w:tab w:leader="none" w:pos="2584" w:val="left"/>
        </w:tabs>
        <w:numPr>
          <w:ilvl w:val="3"/>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the Participant’s Service with the Participating Company Group terminates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Disability, death or Cause, the Option, to the extent unexercised and exercisable by the Participant on the date on which the Participant’s 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45" w:lineRule="exact"/>
        <w:rPr>
          <w:rFonts w:ascii="Arial" w:cs="Arial" w:eastAsia="Arial" w:hAnsi="Arial"/>
          <w:sz w:val="16"/>
          <w:szCs w:val="16"/>
          <w:color w:val="auto"/>
        </w:rPr>
      </w:pPr>
    </w:p>
    <w:p>
      <w:pPr>
        <w:ind w:left="1960" w:hanging="656"/>
        <w:spacing w:after="0" w:line="303" w:lineRule="auto"/>
        <w:tabs>
          <w:tab w:leader="none" w:pos="1681" w:val="left"/>
        </w:tabs>
        <w:numPr>
          <w:ilvl w:val="2"/>
          <w:numId w:val="106"/>
        </w:numPr>
        <w:rPr>
          <w:rFonts w:ascii="Arial" w:cs="Arial" w:eastAsia="Arial" w:hAnsi="Arial"/>
          <w:sz w:val="16"/>
          <w:szCs w:val="16"/>
          <w:color w:val="auto"/>
        </w:rPr>
      </w:pPr>
      <w:r>
        <w:rPr>
          <w:rFonts w:ascii="Arial" w:cs="Arial" w:eastAsia="Arial" w:hAnsi="Arial"/>
          <w:sz w:val="16"/>
          <w:szCs w:val="16"/>
          <w:b w:val="1"/>
          <w:bCs w:val="1"/>
          <w:color w:val="auto"/>
        </w:rPr>
        <w:t>Extension if Exercise Prevented by Law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if the exercise of an Option within the applicable time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42" w:lineRule="exact"/>
        <w:rPr>
          <w:rFonts w:ascii="Arial" w:cs="Arial" w:eastAsia="Arial" w:hAnsi="Arial"/>
          <w:sz w:val="16"/>
          <w:szCs w:val="16"/>
          <w:color w:val="auto"/>
        </w:rPr>
      </w:pPr>
    </w:p>
    <w:p>
      <w:pPr>
        <w:ind w:left="1960" w:hanging="656"/>
        <w:spacing w:after="0" w:line="275" w:lineRule="auto"/>
        <w:tabs>
          <w:tab w:leader="none" w:pos="1657" w:val="left"/>
        </w:tabs>
        <w:numPr>
          <w:ilvl w:val="2"/>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2"/>
          <w:szCs w:val="22"/>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2" w:lineRule="exact"/>
        <w:rPr>
          <w:rFonts w:ascii="Arial" w:cs="Arial" w:eastAsia="Arial" w:hAnsi="Arial"/>
          <w:sz w:val="17"/>
          <w:szCs w:val="17"/>
          <w:color w:val="auto"/>
        </w:rPr>
      </w:pPr>
    </w:p>
    <w:p>
      <w:pPr>
        <w:ind w:left="1960" w:hanging="656"/>
        <w:spacing w:after="0" w:line="289" w:lineRule="auto"/>
        <w:tabs>
          <w:tab w:leader="none" w:pos="1708" w:val="left"/>
        </w:tabs>
        <w:numPr>
          <w:ilvl w:val="2"/>
          <w:numId w:val="106"/>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49" w:lineRule="exact"/>
        <w:rPr>
          <w:rFonts w:ascii="Arial" w:cs="Arial" w:eastAsia="Arial" w:hAnsi="Arial"/>
          <w:sz w:val="17"/>
          <w:szCs w:val="17"/>
          <w:color w:val="auto"/>
        </w:rPr>
      </w:pPr>
    </w:p>
    <w:p>
      <w:pPr>
        <w:ind w:left="980" w:hanging="324"/>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Standard Forms of Option Agreement.</w:t>
      </w:r>
    </w:p>
    <w:p>
      <w:pPr>
        <w:spacing w:after="0" w:line="117" w:lineRule="exact"/>
        <w:rPr>
          <w:rFonts w:ascii="Arial" w:cs="Arial" w:eastAsia="Arial" w:hAnsi="Arial"/>
          <w:sz w:val="18"/>
          <w:szCs w:val="18"/>
          <w:color w:val="auto"/>
        </w:rPr>
      </w:pPr>
    </w:p>
    <w:p>
      <w:pPr>
        <w:ind w:left="1960" w:right="20" w:hanging="656"/>
        <w:spacing w:after="0" w:line="266" w:lineRule="auto"/>
        <w:tabs>
          <w:tab w:leader="none" w:pos="1950" w:val="left"/>
        </w:tabs>
        <w:numPr>
          <w:ilvl w:val="2"/>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the terms and conditions set forth in the form of Option Agreement approved by the Committee concurrently with its adoption of the Plan and as amended from time to time</w:t>
      </w:r>
    </w:p>
    <w:p>
      <w:pPr>
        <w:spacing w:after="0" w:line="67" w:lineRule="exact"/>
        <w:rPr>
          <w:rFonts w:ascii="Arial" w:cs="Arial" w:eastAsia="Arial" w:hAnsi="Arial"/>
          <w:sz w:val="18"/>
          <w:szCs w:val="18"/>
          <w:color w:val="auto"/>
        </w:rPr>
      </w:pPr>
    </w:p>
    <w:p>
      <w:pPr>
        <w:ind w:left="1960" w:right="20" w:hanging="656"/>
        <w:spacing w:after="0" w:line="303" w:lineRule="auto"/>
        <w:tabs>
          <w:tab w:leader="none" w:pos="1960" w:val="left"/>
        </w:tabs>
        <w:numPr>
          <w:ilvl w:val="2"/>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Authority to Vary Terms. </w:t>
      </w:r>
      <w:r>
        <w:rPr>
          <w:rFonts w:ascii="Arial" w:cs="Arial" w:eastAsia="Arial" w:hAnsi="Arial"/>
          <w:sz w:val="16"/>
          <w:szCs w:val="16"/>
          <w:color w:val="auto"/>
        </w:rPr>
        <w:t>The Committee shall have the authority from time to time to vary the terms of any standard form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42" w:lineRule="exact"/>
        <w:rPr>
          <w:rFonts w:ascii="Arial" w:cs="Arial" w:eastAsia="Arial" w:hAnsi="Arial"/>
          <w:sz w:val="16"/>
          <w:szCs w:val="16"/>
          <w:color w:val="auto"/>
        </w:rPr>
      </w:pPr>
    </w:p>
    <w:p>
      <w:pPr>
        <w:ind w:left="320" w:hanging="312"/>
        <w:spacing w:after="0"/>
        <w:tabs>
          <w:tab w:leader="none" w:pos="3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Grant of Stock Appreciation Rights.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1" w:right="339" w:bottom="1440" w:gutter="0" w:footer="0" w:header="0"/>
        </w:sectPr>
      </w:pPr>
    </w:p>
    <w:bookmarkStart w:id="66" w:name="page67"/>
    <w:bookmarkEnd w:id="66"/>
    <w:p>
      <w:pPr>
        <w:jc w:val="both"/>
        <w:ind w:left="1960" w:right="80" w:hanging="656"/>
        <w:spacing w:after="0" w:line="286" w:lineRule="auto"/>
        <w:tabs>
          <w:tab w:leader="none" w:pos="195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57" w:lineRule="exact"/>
        <w:rPr>
          <w:rFonts w:ascii="Arial" w:cs="Arial" w:eastAsia="Arial" w:hAnsi="Arial"/>
          <w:sz w:val="17"/>
          <w:szCs w:val="17"/>
          <w:color w:val="auto"/>
        </w:rPr>
      </w:pPr>
    </w:p>
    <w:p>
      <w:pPr>
        <w:ind w:left="1960" w:right="180" w:hanging="656"/>
        <w:spacing w:after="0" w:line="255" w:lineRule="auto"/>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84" w:lineRule="exact"/>
        <w:rPr>
          <w:rFonts w:ascii="Arial" w:cs="Arial" w:eastAsia="Arial" w:hAnsi="Arial"/>
          <w:sz w:val="18"/>
          <w:szCs w:val="18"/>
          <w:color w:val="auto"/>
        </w:rPr>
      </w:pPr>
    </w:p>
    <w:p>
      <w:pPr>
        <w:ind w:left="1960" w:right="180" w:hanging="656"/>
        <w:spacing w:after="0" w:line="263" w:lineRule="auto"/>
        <w:tabs>
          <w:tab w:leader="none" w:pos="19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grant price per share of Stock subject to a Stock Appreciation Right shall be determined by the Committee and set forth in the Award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grant price for any Stock Appreciation Right shall not be less than 100% of the Fair Market Value of a share of Stock on the date of grant.</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provisions set forth in Section 6.4 with respect to the exercise of Options following termination of employment shall apply as well to such exercise of SARs.</w:t>
      </w:r>
    </w:p>
    <w:p>
      <w:pPr>
        <w:spacing w:after="0" w:line="58" w:lineRule="exact"/>
        <w:rPr>
          <w:sz w:val="20"/>
          <w:szCs w:val="20"/>
          <w:color w:val="auto"/>
        </w:rPr>
      </w:pPr>
    </w:p>
    <w:p>
      <w:pPr>
        <w:jc w:val="both"/>
        <w:ind w:left="980" w:right="120" w:hanging="647"/>
        <w:spacing w:after="0" w:line="266" w:lineRule="auto"/>
        <w:tabs>
          <w:tab w:leader="none" w:pos="960" w:val="left"/>
        </w:tabs>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Payment and Limitations on Exercise. </w:t>
      </w:r>
      <w:r>
        <w:rPr>
          <w:rFonts w:ascii="Arial" w:cs="Arial" w:eastAsia="Arial" w:hAnsi="Arial"/>
          <w:sz w:val="18"/>
          <w:szCs w:val="18"/>
          <w:color w:val="auto"/>
        </w:rPr>
        <w:t>Payment of the amounts determined under Section 7.1(b) hereof shall be in cash, in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Fair Market Value as of the date the Stock Appreciation Right is exercised) or a combination of both, as determined by the Committee.</w:t>
      </w:r>
    </w:p>
    <w:p>
      <w:pPr>
        <w:spacing w:after="0" w:line="6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xml:space="preserve">Dividend Payments. </w:t>
      </w:r>
      <w:r>
        <w:rPr>
          <w:rFonts w:ascii="Arial" w:cs="Arial" w:eastAsia="Arial" w:hAnsi="Arial"/>
          <w:sz w:val="16"/>
          <w:szCs w:val="16"/>
          <w:color w:val="auto"/>
        </w:rPr>
        <w:t>No dividends or dividend equivalents will be accrued or paid with respect to SARs.</w:t>
      </w:r>
    </w:p>
    <w:p>
      <w:pPr>
        <w:spacing w:after="0" w:line="117"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TO NON-EMPLOYEE DIRECTORS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2" w:lineRule="exact"/>
        <w:rPr>
          <w:sz w:val="20"/>
          <w:szCs w:val="20"/>
          <w:color w:val="auto"/>
        </w:rPr>
      </w:pPr>
    </w:p>
    <w:p>
      <w:pPr>
        <w:ind w:firstLine="8"/>
        <w:spacing w:after="0" w:line="260" w:lineRule="auto"/>
        <w:tabs>
          <w:tab w:leader="none" w:pos="2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73"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DELIVERY OF RESTRICTED STOCK</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right="40" w:hanging="644"/>
        <w:spacing w:after="0" w:line="272" w:lineRule="auto"/>
        <w:tabs>
          <w:tab w:leader="none" w:pos="1300" w:val="left"/>
        </w:tabs>
        <w:numPr>
          <w:ilvl w:val="1"/>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Restricted Period. </w:t>
      </w:r>
      <w:r>
        <w:rPr>
          <w:rFonts w:ascii="Arial" w:cs="Arial" w:eastAsia="Arial" w:hAnsi="Arial"/>
          <w:sz w:val="17"/>
          <w:szCs w:val="17"/>
          <w:color w:val="auto"/>
        </w:rPr>
        <w:t>At the time an award of Restricted Stock is made, the Committee shall establish a period or periods of time (each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Restricted Period</w:t>
      </w:r>
      <w:r>
        <w:rPr>
          <w:rFonts w:ascii="Arial" w:cs="Arial" w:eastAsia="Arial" w:hAnsi="Arial"/>
          <w:sz w:val="17"/>
          <w:szCs w:val="17"/>
          <w:i w:val="1"/>
          <w:iCs w:val="1"/>
          <w:color w:val="auto"/>
        </w:rPr>
        <w:t>”</w:t>
      </w:r>
      <w:r>
        <w:rPr>
          <w:rFonts w:ascii="Arial" w:cs="Arial" w:eastAsia="Arial" w:hAnsi="Arial"/>
          <w:sz w:val="17"/>
          <w:szCs w:val="17"/>
          <w:color w:val="auto"/>
        </w:rPr>
        <w:t>) or such other restrictions on the vesting of the Restricted Stock as it shall deem appropriate or applicable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63" w:lineRule="exact"/>
        <w:rPr>
          <w:rFonts w:ascii="Arial" w:cs="Arial" w:eastAsia="Arial" w:hAnsi="Arial"/>
          <w:sz w:val="17"/>
          <w:szCs w:val="17"/>
          <w:color w:val="auto"/>
        </w:rPr>
      </w:pPr>
    </w:p>
    <w:p>
      <w:pPr>
        <w:ind w:left="1300" w:hanging="644"/>
        <w:spacing w:after="0" w:line="288" w:lineRule="auto"/>
        <w:tabs>
          <w:tab w:leader="none" w:pos="1300"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Rights and Privileges. </w:t>
      </w:r>
      <w:r>
        <w:rPr>
          <w:rFonts w:ascii="Arial" w:cs="Arial" w:eastAsia="Arial" w:hAnsi="Arial"/>
          <w:sz w:val="16"/>
          <w:szCs w:val="16"/>
          <w:color w:val="auto"/>
        </w:rPr>
        <w:t>At the time a grant of Restricted Stock is made to a Participant, a stock certificate representing a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1" w:right="339" w:bottom="1440" w:gutter="0" w:footer="0" w:header="0"/>
        </w:sectPr>
      </w:pPr>
    </w:p>
    <w:bookmarkStart w:id="67" w:name="page68"/>
    <w:bookmarkEnd w:id="67"/>
    <w:p>
      <w:pPr>
        <w:ind w:left="1292" w:right="120"/>
        <w:spacing w:after="0" w:line="287" w:lineRule="auto"/>
        <w:rPr>
          <w:sz w:val="20"/>
          <w:szCs w:val="20"/>
          <w:color w:val="auto"/>
        </w:rPr>
      </w:pPr>
      <w:r>
        <w:rPr>
          <w:rFonts w:ascii="Arial" w:cs="Arial" w:eastAsia="Arial" w:hAnsi="Arial"/>
          <w:sz w:val="16"/>
          <w:szCs w:val="16"/>
          <w:color w:val="auto"/>
        </w:rPr>
        <w:t>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60" w:lineRule="exact"/>
        <w:rPr>
          <w:sz w:val="20"/>
          <w:szCs w:val="20"/>
          <w:color w:val="auto"/>
        </w:rPr>
      </w:pPr>
    </w:p>
    <w:p>
      <w:pPr>
        <w:ind w:left="1292" w:right="60" w:hanging="644"/>
        <w:spacing w:after="0" w:line="292" w:lineRule="auto"/>
        <w:tabs>
          <w:tab w:leader="none" w:pos="1292" w:val="left"/>
        </w:tabs>
        <w:numPr>
          <w:ilvl w:val="1"/>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Expiration of Restricted Period. </w:t>
      </w:r>
      <w:r>
        <w:rPr>
          <w:rFonts w:ascii="Arial" w:cs="Arial" w:eastAsia="Arial" w:hAnsi="Arial"/>
          <w:sz w:val="16"/>
          <w:szCs w:val="16"/>
          <w:color w:val="auto"/>
        </w:rPr>
        <w:t>Upon the expiration or termination of the Restricted Period applicable to Restricted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53" w:lineRule="exact"/>
        <w:rPr>
          <w:rFonts w:ascii="Arial" w:cs="Arial" w:eastAsia="Arial" w:hAnsi="Arial"/>
          <w:sz w:val="16"/>
          <w:szCs w:val="16"/>
          <w:color w:val="auto"/>
        </w:rPr>
      </w:pPr>
    </w:p>
    <w:p>
      <w:pPr>
        <w:jc w:val="both"/>
        <w:ind w:left="1292" w:right="220" w:hanging="644"/>
        <w:spacing w:after="0" w:line="266" w:lineRule="auto"/>
        <w:tabs>
          <w:tab w:leader="none" w:pos="1292"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67" w:lineRule="exact"/>
        <w:rPr>
          <w:rFonts w:ascii="Arial" w:cs="Arial" w:eastAsia="Arial" w:hAnsi="Arial"/>
          <w:sz w:val="18"/>
          <w:szCs w:val="18"/>
          <w:color w:val="auto"/>
        </w:rPr>
      </w:pPr>
    </w:p>
    <w:p>
      <w:pPr>
        <w:ind w:left="412" w:hanging="412"/>
        <w:spacing w:after="0"/>
        <w:tabs>
          <w:tab w:leader="none" w:pos="41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Committee is authorized to grant Restricted Stock Units to eligible persons, subject to the following terms and conditions:</w:t>
      </w:r>
    </w:p>
    <w:p>
      <w:pPr>
        <w:spacing w:after="0" w:line="113" w:lineRule="exact"/>
        <w:rPr>
          <w:sz w:val="20"/>
          <w:szCs w:val="20"/>
          <w:color w:val="auto"/>
        </w:rPr>
      </w:pPr>
    </w:p>
    <w:p>
      <w:pPr>
        <w:ind w:left="1292" w:hanging="644"/>
        <w:spacing w:after="0" w:line="261" w:lineRule="auto"/>
        <w:tabs>
          <w:tab w:leader="none" w:pos="1292"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Award and Restrictions. </w:t>
      </w:r>
      <w:r>
        <w:rPr>
          <w:rFonts w:ascii="Arial" w:cs="Arial" w:eastAsia="Arial" w:hAnsi="Arial"/>
          <w:sz w:val="18"/>
          <w:szCs w:val="18"/>
          <w:color w:val="auto"/>
        </w:rPr>
        <w:t>Restricted Stock Units shall be subject to such restrictions (which may include a risk of forfeiture)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71" w:lineRule="exact"/>
        <w:rPr>
          <w:rFonts w:ascii="Arial" w:cs="Arial" w:eastAsia="Arial" w:hAnsi="Arial"/>
          <w:sz w:val="18"/>
          <w:szCs w:val="18"/>
          <w:color w:val="auto"/>
        </w:rPr>
      </w:pPr>
    </w:p>
    <w:p>
      <w:pPr>
        <w:ind w:left="1292" w:right="140" w:hanging="644"/>
        <w:spacing w:after="0" w:line="258" w:lineRule="auto"/>
        <w:tabs>
          <w:tab w:leader="none" w:pos="1292"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of Restricted Stock Units shall occur upon expiration of the deferral period specified for such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 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75" w:lineRule="exact"/>
        <w:rPr>
          <w:rFonts w:ascii="Arial" w:cs="Arial" w:eastAsia="Arial" w:hAnsi="Arial"/>
          <w:sz w:val="18"/>
          <w:szCs w:val="18"/>
          <w:color w:val="auto"/>
        </w:rPr>
      </w:pPr>
    </w:p>
    <w:p>
      <w:pPr>
        <w:ind w:left="1292" w:right="180" w:hanging="644"/>
        <w:spacing w:after="0" w:line="271" w:lineRule="auto"/>
        <w:tabs>
          <w:tab w:leader="none" w:pos="1292"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Dividends on Restricted Stock Units. </w:t>
      </w:r>
      <w:r>
        <w:rPr>
          <w:rFonts w:ascii="Arial" w:cs="Arial" w:eastAsia="Arial" w:hAnsi="Arial"/>
          <w:sz w:val="17"/>
          <w:szCs w:val="17"/>
          <w:color w:val="auto"/>
        </w:rPr>
        <w:t>The Committee may, in its sole discretion and as would be set forth in the applicable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65" w:lineRule="exact"/>
        <w:rPr>
          <w:rFonts w:ascii="Arial" w:cs="Arial" w:eastAsia="Arial" w:hAnsi="Arial"/>
          <w:sz w:val="17"/>
          <w:szCs w:val="17"/>
          <w:color w:val="auto"/>
        </w:rPr>
      </w:pPr>
    </w:p>
    <w:p>
      <w:pPr>
        <w:ind w:left="1292" w:hanging="644"/>
        <w:spacing w:after="0"/>
        <w:tabs>
          <w:tab w:leader="none" w:pos="1292"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p>
    <w:p>
      <w:pPr>
        <w:spacing w:after="0" w:line="121" w:lineRule="exact"/>
        <w:rPr>
          <w:rFonts w:ascii="Arial" w:cs="Arial" w:eastAsia="Arial" w:hAnsi="Arial"/>
          <w:sz w:val="18"/>
          <w:szCs w:val="18"/>
          <w:color w:val="auto"/>
        </w:rPr>
      </w:pPr>
    </w:p>
    <w:p>
      <w:pPr>
        <w:ind w:left="1952" w:right="620" w:hanging="648"/>
        <w:spacing w:after="0" w:line="277" w:lineRule="auto"/>
        <w:rPr>
          <w:rFonts w:ascii="Arial" w:cs="Arial" w:eastAsia="Arial" w:hAnsi="Arial"/>
          <w:sz w:val="18"/>
          <w:szCs w:val="18"/>
          <w:color w:val="auto"/>
        </w:rPr>
      </w:pPr>
      <w:r>
        <w:rPr>
          <w:rFonts w:ascii="Arial" w:cs="Arial" w:eastAsia="Arial" w:hAnsi="Arial"/>
          <w:sz w:val="18"/>
          <w:szCs w:val="18"/>
          <w:color w:val="auto"/>
        </w:rPr>
        <w:t>a. Unless the applicable Award Agreement or the Committee determines otherwise, Restricted Stock Units that have not vested, together with Dividend Equivalents, if any, credited on such Restricted</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32"/>
          </w:cols>
          <w:pgMar w:left="328" w:top="881" w:right="339" w:bottom="1440" w:gutter="0" w:footer="0" w:header="0"/>
        </w:sectPr>
      </w:pPr>
    </w:p>
    <w:bookmarkStart w:id="68" w:name="page69"/>
    <w:bookmarkEnd w:id="68"/>
    <w:p>
      <w:pPr>
        <w:ind w:left="1952"/>
        <w:spacing w:after="0"/>
        <w:rPr>
          <w:sz w:val="20"/>
          <w:szCs w:val="20"/>
          <w:color w:val="auto"/>
        </w:rPr>
      </w:pPr>
      <w:r>
        <w:rPr>
          <w:rFonts w:ascii="Arial" w:cs="Arial" w:eastAsia="Arial" w:hAnsi="Arial"/>
          <w:sz w:val="18"/>
          <w:szCs w:val="18"/>
          <w:color w:val="auto"/>
        </w:rPr>
        <w:t>Stock Units, shall be forfeited upon the Participant’s termination of employment for any reason other than death.</w:t>
      </w:r>
    </w:p>
    <w:p>
      <w:pPr>
        <w:spacing w:after="0" w:line="117" w:lineRule="exact"/>
        <w:rPr>
          <w:sz w:val="20"/>
          <w:szCs w:val="20"/>
          <w:color w:val="auto"/>
        </w:rPr>
      </w:pPr>
    </w:p>
    <w:p>
      <w:pPr>
        <w:ind w:left="1952" w:right="280" w:hanging="656"/>
        <w:spacing w:after="0" w:line="277" w:lineRule="auto"/>
        <w:tabs>
          <w:tab w:leader="none" w:pos="1619"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the Employee terminates employment by reason of death, all of his or her shares of Restricted Stock shall become 100% vested upon the date of death.</w:t>
      </w:r>
    </w:p>
    <w:p>
      <w:pPr>
        <w:spacing w:after="0" w:line="58" w:lineRule="exact"/>
        <w:rPr>
          <w:rFonts w:ascii="Arial" w:cs="Arial" w:eastAsia="Arial" w:hAnsi="Arial"/>
          <w:sz w:val="18"/>
          <w:szCs w:val="18"/>
          <w:color w:val="auto"/>
        </w:rPr>
      </w:pPr>
    </w:p>
    <w:p>
      <w:pPr>
        <w:ind w:left="392" w:hanging="392"/>
        <w:spacing w:after="0"/>
        <w:tabs>
          <w:tab w:leader="none" w:pos="39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INCENTIVE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hanging="644"/>
        <w:spacing w:after="0" w:line="258" w:lineRule="auto"/>
        <w:tabs>
          <w:tab w:leader="none" w:pos="949"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79" w:lineRule="exact"/>
        <w:rPr>
          <w:rFonts w:ascii="Arial" w:cs="Arial" w:eastAsia="Arial" w:hAnsi="Arial"/>
          <w:sz w:val="18"/>
          <w:szCs w:val="18"/>
          <w:color w:val="auto"/>
        </w:rPr>
      </w:pPr>
    </w:p>
    <w:p>
      <w:pPr>
        <w:ind w:left="1952" w:right="300" w:hanging="656"/>
        <w:spacing w:after="0" w:line="277" w:lineRule="auto"/>
        <w:tabs>
          <w:tab w:leader="none" w:pos="1599"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62" w:lineRule="exact"/>
        <w:rPr>
          <w:rFonts w:ascii="Arial" w:cs="Arial" w:eastAsia="Arial" w:hAnsi="Arial"/>
          <w:sz w:val="18"/>
          <w:szCs w:val="18"/>
          <w:color w:val="auto"/>
        </w:rPr>
      </w:pPr>
    </w:p>
    <w:p>
      <w:pPr>
        <w:ind w:left="1952" w:right="20" w:hanging="656"/>
        <w:spacing w:after="0" w:line="277" w:lineRule="auto"/>
        <w:tabs>
          <w:tab w:leader="none" w:pos="1619"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pacing w:after="0" w:line="62" w:lineRule="exact"/>
        <w:rPr>
          <w:rFonts w:ascii="Arial" w:cs="Arial" w:eastAsia="Arial" w:hAnsi="Arial"/>
          <w:sz w:val="18"/>
          <w:szCs w:val="18"/>
          <w:color w:val="auto"/>
        </w:rPr>
      </w:pPr>
    </w:p>
    <w:p>
      <w:pPr>
        <w:ind w:left="1952" w:hanging="656"/>
        <w:spacing w:after="0" w:line="286" w:lineRule="auto"/>
        <w:tabs>
          <w:tab w:leader="none" w:pos="1606"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57" w:lineRule="exact"/>
        <w:rPr>
          <w:rFonts w:ascii="Arial" w:cs="Arial" w:eastAsia="Arial" w:hAnsi="Arial"/>
          <w:sz w:val="17"/>
          <w:szCs w:val="17"/>
          <w:color w:val="auto"/>
        </w:rPr>
      </w:pPr>
    </w:p>
    <w:p>
      <w:pPr>
        <w:ind w:left="1952" w:right="380" w:hanging="656"/>
        <w:spacing w:after="0" w:line="277" w:lineRule="auto"/>
        <w:tabs>
          <w:tab w:leader="none" w:pos="1609"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58" w:lineRule="exact"/>
        <w:rPr>
          <w:rFonts w:ascii="Arial" w:cs="Arial" w:eastAsia="Arial" w:hAnsi="Arial"/>
          <w:sz w:val="18"/>
          <w:szCs w:val="18"/>
          <w:color w:val="auto"/>
        </w:rPr>
      </w:pPr>
    </w:p>
    <w:p>
      <w:pPr>
        <w:ind w:left="412" w:hanging="412"/>
        <w:spacing w:after="0"/>
        <w:tabs>
          <w:tab w:leader="none" w:pos="41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right="220" w:hanging="644"/>
        <w:spacing w:after="0" w:line="256"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available under the Plan (including but not limited to Options, Restricted Stock, Annual Incentive Awards and Discretionary Bonus Awards) as conditioned on the achievement of specified Performance Measures (each such Award a “</w:t>
      </w:r>
      <w:r>
        <w:rPr>
          <w:rFonts w:ascii="Arial" w:cs="Arial" w:eastAsia="Arial" w:hAnsi="Arial"/>
          <w:sz w:val="18"/>
          <w:szCs w:val="18"/>
          <w:b w:val="1"/>
          <w:bCs w:val="1"/>
          <w:i w:val="1"/>
          <w:iCs w:val="1"/>
          <w:color w:val="auto"/>
        </w:rPr>
        <w:t>Performance-Based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grant, exercise, vesting or settlement of Performance-Based Awards may be conditioned on the achievement of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The Performance Cycle or performance period(s) applicable to a Performance-Based Award shall be any period of time determined by the Committee</w:t>
      </w:r>
      <w:r>
        <w:rPr>
          <w:rFonts w:ascii="Arial" w:cs="Arial" w:eastAsia="Arial" w:hAnsi="Arial"/>
          <w:sz w:val="18"/>
          <w:szCs w:val="18"/>
          <w:b w:val="1"/>
          <w:bCs w:val="1"/>
          <w:color w:val="auto"/>
        </w:rPr>
        <w:t>.</w:t>
      </w:r>
    </w:p>
    <w:p>
      <w:pPr>
        <w:spacing w:after="0" w:line="79" w:lineRule="exact"/>
        <w:rPr>
          <w:rFonts w:ascii="Arial" w:cs="Arial" w:eastAsia="Arial" w:hAnsi="Arial"/>
          <w:sz w:val="18"/>
          <w:szCs w:val="18"/>
          <w:color w:val="auto"/>
        </w:rPr>
      </w:pPr>
    </w:p>
    <w:p>
      <w:pPr>
        <w:ind w:left="1292" w:right="200" w:hanging="644"/>
        <w:spacing w:after="0" w:line="261" w:lineRule="auto"/>
        <w:tabs>
          <w:tab w:leader="none" w:pos="959"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and Performance Measures. </w:t>
      </w:r>
      <w:r>
        <w:rPr>
          <w:rFonts w:ascii="Arial" w:cs="Arial" w:eastAsia="Arial" w:hAnsi="Arial"/>
          <w:sz w:val="18"/>
          <w:szCs w:val="18"/>
          <w:color w:val="auto"/>
        </w:rPr>
        <w:t>A Performance Goal established in connection with a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 must be based on any one or more of the following performance measures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(which may be applied to an individual, a subsidiary, a business unit or division, or the Company and any one or more of its subsidiaries as a whole, as determined by the Committee):</w:t>
      </w:r>
    </w:p>
    <w:p>
      <w:pPr>
        <w:spacing w:after="0" w:line="75"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17" w:lineRule="exact"/>
        <w:rPr>
          <w:rFonts w:ascii="Arial" w:cs="Arial" w:eastAsia="Arial" w:hAnsi="Arial"/>
          <w:sz w:val="18"/>
          <w:szCs w:val="18"/>
          <w:color w:val="auto"/>
        </w:rPr>
      </w:pPr>
    </w:p>
    <w:p>
      <w:pPr>
        <w:ind w:left="1952" w:hanging="656"/>
        <w:spacing w:after="0"/>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rFonts w:ascii="Arial" w:cs="Arial" w:eastAsia="Arial" w:hAnsi="Arial"/>
          <w:sz w:val="18"/>
          <w:szCs w:val="18"/>
          <w:color w:val="auto"/>
        </w:rPr>
      </w:pPr>
    </w:p>
    <w:p>
      <w:pPr>
        <w:ind w:left="1952" w:hanging="656"/>
        <w:spacing w:after="0"/>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returns on assets, capital, invested capital, equity, sales, or revenue);</w:t>
      </w:r>
    </w:p>
    <w:p>
      <w:pPr>
        <w:spacing w:after="0" w:line="117" w:lineRule="exact"/>
        <w:rPr>
          <w:rFonts w:ascii="Arial" w:cs="Arial" w:eastAsia="Arial" w:hAnsi="Arial"/>
          <w:sz w:val="18"/>
          <w:szCs w:val="18"/>
          <w:color w:val="auto"/>
        </w:rPr>
      </w:pPr>
    </w:p>
    <w:p>
      <w:pPr>
        <w:ind w:left="1952" w:right="80" w:hanging="656"/>
        <w:spacing w:after="0" w:line="277"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62" w:lineRule="exact"/>
        <w:rPr>
          <w:rFonts w:ascii="Arial" w:cs="Arial" w:eastAsia="Arial" w:hAnsi="Arial"/>
          <w:sz w:val="18"/>
          <w:szCs w:val="18"/>
          <w:color w:val="auto"/>
        </w:rPr>
      </w:pPr>
    </w:p>
    <w:p>
      <w:pPr>
        <w:ind w:left="1952" w:hanging="656"/>
        <w:spacing w:after="0"/>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17" w:lineRule="exact"/>
        <w:rPr>
          <w:rFonts w:ascii="Arial" w:cs="Arial" w:eastAsia="Arial" w:hAnsi="Arial"/>
          <w:sz w:val="18"/>
          <w:szCs w:val="18"/>
          <w:color w:val="auto"/>
        </w:rPr>
      </w:pPr>
    </w:p>
    <w:p>
      <w:pPr>
        <w:ind w:left="1952" w:hanging="656"/>
        <w:spacing w:after="0"/>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32"/>
          </w:cols>
          <w:pgMar w:left="328" w:top="881" w:right="339" w:bottom="1440" w:gutter="0" w:footer="0" w:header="0"/>
        </w:sectPr>
      </w:pPr>
    </w:p>
    <w:bookmarkStart w:id="69" w:name="page70"/>
    <w:bookmarkEnd w:id="69"/>
    <w:p>
      <w:pPr>
        <w:ind w:left="1940" w:hanging="636"/>
        <w:spacing w:after="0"/>
        <w:tabs>
          <w:tab w:leader="none" w:pos="1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17" w:lineRule="exact"/>
        <w:rPr>
          <w:rFonts w:ascii="Arial" w:cs="Arial" w:eastAsia="Arial" w:hAnsi="Arial"/>
          <w:sz w:val="18"/>
          <w:szCs w:val="18"/>
          <w:color w:val="auto"/>
        </w:rPr>
      </w:pPr>
    </w:p>
    <w:p>
      <w:pPr>
        <w:ind w:left="1960" w:hanging="656"/>
        <w:spacing w:after="0"/>
        <w:tabs>
          <w:tab w:leader="none" w:pos="19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Performance of one or more of our investment products on an absolute basis or relative to a benchmark or peer group;</w:t>
      </w:r>
    </w:p>
    <w:p>
      <w:pPr>
        <w:spacing w:after="0" w:line="128" w:lineRule="exact"/>
        <w:rPr>
          <w:rFonts w:ascii="Arial" w:cs="Arial" w:eastAsia="Arial" w:hAnsi="Arial"/>
          <w:sz w:val="17"/>
          <w:szCs w:val="17"/>
          <w:color w:val="auto"/>
        </w:rPr>
      </w:pPr>
    </w:p>
    <w:p>
      <w:pPr>
        <w:ind w:left="1960" w:hanging="656"/>
        <w:spacing w:after="0"/>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17" w:lineRule="exact"/>
        <w:rPr>
          <w:rFonts w:ascii="Arial" w:cs="Arial" w:eastAsia="Arial" w:hAnsi="Arial"/>
          <w:sz w:val="18"/>
          <w:szCs w:val="18"/>
          <w:color w:val="auto"/>
        </w:rPr>
      </w:pPr>
    </w:p>
    <w:p>
      <w:pPr>
        <w:ind w:left="1960" w:hanging="656"/>
        <w:spacing w:after="0"/>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17" w:lineRule="exact"/>
        <w:rPr>
          <w:rFonts w:ascii="Arial" w:cs="Arial" w:eastAsia="Arial" w:hAnsi="Arial"/>
          <w:sz w:val="18"/>
          <w:szCs w:val="18"/>
          <w:color w:val="auto"/>
        </w:rPr>
      </w:pPr>
    </w:p>
    <w:p>
      <w:pPr>
        <w:ind w:left="1960" w:right="440" w:hanging="656"/>
        <w:spacing w:after="0" w:line="259" w:lineRule="auto"/>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78" w:lineRule="exact"/>
        <w:rPr>
          <w:rFonts w:ascii="Arial" w:cs="Arial" w:eastAsia="Arial" w:hAnsi="Arial"/>
          <w:sz w:val="18"/>
          <w:szCs w:val="18"/>
          <w:color w:val="auto"/>
        </w:rPr>
      </w:pPr>
    </w:p>
    <w:p>
      <w:pPr>
        <w:ind w:left="1960" w:right="200" w:hanging="656"/>
        <w:spacing w:after="0" w:line="263" w:lineRule="auto"/>
        <w:tabs>
          <w:tab w:leader="none" w:pos="19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75" w:lineRule="exact"/>
        <w:rPr>
          <w:rFonts w:ascii="Arial" w:cs="Arial" w:eastAsia="Arial" w:hAnsi="Arial"/>
          <w:sz w:val="18"/>
          <w:szCs w:val="18"/>
          <w:color w:val="auto"/>
        </w:rPr>
      </w:pPr>
    </w:p>
    <w:p>
      <w:pPr>
        <w:ind w:left="1940" w:hanging="636"/>
        <w:spacing w:after="0"/>
        <w:tabs>
          <w:tab w:leader="none" w:pos="1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criteria as determined by the Committee in its sole discretion; and/or</w:t>
      </w:r>
    </w:p>
    <w:p>
      <w:pPr>
        <w:spacing w:after="0" w:line="117" w:lineRule="exact"/>
        <w:rPr>
          <w:rFonts w:ascii="Arial" w:cs="Arial" w:eastAsia="Arial" w:hAnsi="Arial"/>
          <w:sz w:val="18"/>
          <w:szCs w:val="18"/>
          <w:color w:val="auto"/>
        </w:rPr>
      </w:pPr>
    </w:p>
    <w:p>
      <w:pPr>
        <w:ind w:left="1940" w:hanging="636"/>
        <w:spacing w:after="0"/>
        <w:tabs>
          <w:tab w:leader="none" w:pos="19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17"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64" w:lineRule="exact"/>
        <w:rPr>
          <w:sz w:val="20"/>
          <w:szCs w:val="20"/>
          <w:color w:val="auto"/>
        </w:rPr>
      </w:pPr>
    </w:p>
    <w:p>
      <w:pPr>
        <w:ind w:left="1300" w:right="80" w:hanging="644"/>
        <w:spacing w:after="0" w:line="258" w:lineRule="auto"/>
        <w:tabs>
          <w:tab w:leader="none" w:pos="967"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Calculation of Performance-Based Award. </w:t>
      </w:r>
      <w:r>
        <w:rPr>
          <w:rFonts w:ascii="Arial" w:cs="Arial" w:eastAsia="Arial" w:hAnsi="Arial"/>
          <w:sz w:val="18"/>
          <w:szCs w:val="18"/>
          <w:color w:val="auto"/>
        </w:rPr>
        <w:t>At the expiration of the applicable performance period, the Committee shall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5" w:lineRule="exact"/>
        <w:rPr>
          <w:rFonts w:ascii="Arial" w:cs="Arial" w:eastAsia="Arial" w:hAnsi="Arial"/>
          <w:sz w:val="18"/>
          <w:szCs w:val="18"/>
          <w:color w:val="auto"/>
        </w:rPr>
      </w:pPr>
    </w:p>
    <w:p>
      <w:pPr>
        <w:ind w:left="420" w:hanging="412"/>
        <w:spacing w:after="0"/>
        <w:tabs>
          <w:tab w:leader="none" w:pos="4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right="280" w:hanging="644"/>
        <w:spacing w:after="0" w:line="266" w:lineRule="auto"/>
        <w:tabs>
          <w:tab w:leader="none" w:pos="967"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i w:val="1"/>
          <w:iCs w:val="1"/>
          <w:color w:val="auto"/>
        </w:rPr>
        <w:t>Discretionary Bonus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as the Committee in its discretion may determine.</w:t>
      </w:r>
    </w:p>
    <w:p>
      <w:pPr>
        <w:spacing w:after="0" w:line="71" w:lineRule="exact"/>
        <w:rPr>
          <w:rFonts w:ascii="Arial" w:cs="Arial" w:eastAsia="Arial" w:hAnsi="Arial"/>
          <w:sz w:val="18"/>
          <w:szCs w:val="18"/>
          <w:color w:val="auto"/>
        </w:rPr>
      </w:pPr>
    </w:p>
    <w:p>
      <w:pPr>
        <w:ind w:left="1300" w:right="180" w:hanging="644"/>
        <w:spacing w:after="0" w:line="277"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96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58" w:lineRule="exact"/>
        <w:rPr>
          <w:rFonts w:ascii="Arial" w:cs="Arial" w:eastAsia="Arial" w:hAnsi="Arial"/>
          <w:sz w:val="18"/>
          <w:szCs w:val="18"/>
          <w:color w:val="auto"/>
        </w:rPr>
      </w:pPr>
    </w:p>
    <w:p>
      <w:pPr>
        <w:ind w:left="420" w:hanging="412"/>
        <w:spacing w:after="0"/>
        <w:tabs>
          <w:tab w:leader="none" w:pos="4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54" w:lineRule="exact"/>
        <w:rPr>
          <w:sz w:val="20"/>
          <w:szCs w:val="20"/>
          <w:color w:val="auto"/>
        </w:rPr>
      </w:pPr>
    </w:p>
    <w:p>
      <w:pPr>
        <w:ind w:left="420" w:hanging="412"/>
        <w:spacing w:after="0"/>
        <w:tabs>
          <w:tab w:leader="none" w:pos="4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VESTING LIMITATIONS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81"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2" w:lineRule="exact"/>
        <w:rPr>
          <w:sz w:val="20"/>
          <w:szCs w:val="20"/>
          <w:color w:val="auto"/>
        </w:rPr>
      </w:pPr>
    </w:p>
    <w:p>
      <w:pPr>
        <w:ind w:left="420" w:hanging="412"/>
        <w:spacing w:after="0"/>
        <w:tabs>
          <w:tab w:leader="none" w:pos="4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300" w:right="140" w:hanging="644"/>
        <w:spacing w:after="0" w:line="286" w:lineRule="auto"/>
        <w:tabs>
          <w:tab w:leader="none" w:pos="13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57" w:lineRule="exact"/>
        <w:rPr>
          <w:rFonts w:ascii="Arial" w:cs="Arial" w:eastAsia="Arial" w:hAnsi="Arial"/>
          <w:sz w:val="17"/>
          <w:szCs w:val="17"/>
          <w:color w:val="auto"/>
        </w:rPr>
      </w:pPr>
    </w:p>
    <w:p>
      <w:pPr>
        <w:ind w:left="1300" w:right="240" w:hanging="644"/>
        <w:spacing w:after="0" w:line="286" w:lineRule="auto"/>
        <w:tabs>
          <w:tab w:leader="none" w:pos="13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57" w:lineRule="exact"/>
        <w:rPr>
          <w:rFonts w:ascii="Arial" w:cs="Arial" w:eastAsia="Arial" w:hAnsi="Arial"/>
          <w:sz w:val="17"/>
          <w:szCs w:val="17"/>
          <w:color w:val="auto"/>
        </w:rPr>
      </w:pPr>
    </w:p>
    <w:p>
      <w:pPr>
        <w:ind w:left="1300" w:right="640" w:hanging="644"/>
        <w:spacing w:after="0" w:line="308" w:lineRule="auto"/>
        <w:tabs>
          <w:tab w:leader="none" w:pos="13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34" w:lineRule="exact"/>
        <w:rPr>
          <w:rFonts w:ascii="Arial" w:cs="Arial" w:eastAsia="Arial" w:hAnsi="Arial"/>
          <w:sz w:val="17"/>
          <w:szCs w:val="17"/>
          <w:color w:val="auto"/>
        </w:rPr>
      </w:pPr>
    </w:p>
    <w:p>
      <w:pPr>
        <w:ind w:left="420" w:hanging="412"/>
        <w:spacing w:after="0"/>
        <w:tabs>
          <w:tab w:leader="none" w:pos="4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940" w:hanging="636"/>
        <w:spacing w:after="0"/>
        <w:tabs>
          <w:tab w:leader="none" w:pos="194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i w:val="1"/>
          <w:iCs w:val="1"/>
          <w:color w:val="auto"/>
        </w:rPr>
        <w:t>Ownership Change Event</w:t>
      </w:r>
      <w:r>
        <w:rPr>
          <w:rFonts w:ascii="Arial" w:cs="Arial" w:eastAsia="Arial" w:hAnsi="Arial"/>
          <w:sz w:val="16"/>
          <w:szCs w:val="16"/>
          <w:i w:val="1"/>
          <w:iCs w:val="1"/>
          <w:color w:val="auto"/>
        </w:rPr>
        <w:t>”</w:t>
      </w:r>
      <w:r>
        <w:rPr>
          <w:rFonts w:ascii="Arial" w:cs="Arial" w:eastAsia="Arial" w:hAnsi="Arial"/>
          <w:sz w:val="16"/>
          <w:szCs w:val="16"/>
          <w:color w:val="auto"/>
        </w:rPr>
        <w:t xml:space="preserve"> shall be deemed to have occurred if any of the following occurs with respect to the Company:</w:t>
      </w:r>
    </w:p>
    <w:p>
      <w:pPr>
        <w:spacing w:after="0" w:line="46" w:lineRule="exact"/>
        <w:rPr>
          <w:rFonts w:ascii="Arial" w:cs="Arial" w:eastAsia="Arial" w:hAnsi="Arial"/>
          <w:sz w:val="16"/>
          <w:szCs w:val="16"/>
          <w:color w:val="auto"/>
        </w:rPr>
      </w:pPr>
    </w:p>
    <w:p>
      <w:pPr>
        <w:ind w:left="1960" w:right="20"/>
        <w:spacing w:after="0" w:line="253" w:lineRule="auto"/>
        <w:rPr>
          <w:rFonts w:ascii="Arial" w:cs="Arial" w:eastAsia="Arial" w:hAnsi="Arial"/>
          <w:sz w:val="16"/>
          <w:szCs w:val="16"/>
          <w:color w:val="auto"/>
        </w:rPr>
      </w:pPr>
      <w:r>
        <w:rPr>
          <w:rFonts w:ascii="Arial" w:cs="Arial" w:eastAsia="Arial" w:hAnsi="Arial"/>
          <w:sz w:val="18"/>
          <w:szCs w:val="18"/>
          <w:color w:val="auto"/>
        </w:rPr>
        <w:t>(i)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84" w:lineRule="exact"/>
        <w:rPr>
          <w:rFonts w:ascii="Arial" w:cs="Arial" w:eastAsia="Arial" w:hAnsi="Arial"/>
          <w:sz w:val="16"/>
          <w:szCs w:val="16"/>
          <w:color w:val="auto"/>
        </w:rPr>
      </w:pPr>
    </w:p>
    <w:p>
      <w:pPr>
        <w:ind w:left="1960" w:right="20" w:hanging="656"/>
        <w:spacing w:after="0" w:line="267" w:lineRule="auto"/>
        <w:tabs>
          <w:tab w:leader="none" w:pos="1960" w:val="left"/>
        </w:tabs>
        <w:numPr>
          <w:ilvl w:val="2"/>
          <w:numId w:val="122"/>
        </w:numPr>
        <w:rPr>
          <w:rFonts w:ascii="Arial" w:cs="Arial" w:eastAsia="Arial" w:hAnsi="Arial"/>
          <w:sz w:val="17"/>
          <w:szCs w:val="17"/>
          <w:color w:val="auto"/>
        </w:rPr>
      </w:pPr>
      <w:r>
        <w:rPr>
          <w:rFonts w:ascii="Arial" w:cs="Arial" w:eastAsia="Arial" w:hAnsi="Arial"/>
          <w:sz w:val="17"/>
          <w:szCs w:val="17"/>
          <w:i w:val="1"/>
          <w:iCs w:val="1"/>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(i) a merger or consolidation of the Company with or into another corporation in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76" w:lineRule="exact"/>
        <w:rPr>
          <w:rFonts w:ascii="Arial" w:cs="Arial" w:eastAsia="Arial" w:hAnsi="Arial"/>
          <w:sz w:val="17"/>
          <w:szCs w:val="17"/>
          <w:color w:val="auto"/>
        </w:rPr>
      </w:pPr>
    </w:p>
    <w:p>
      <w:pPr>
        <w:ind w:left="1300" w:right="80" w:hanging="644"/>
        <w:spacing w:after="0" w:line="273" w:lineRule="auto"/>
        <w:tabs>
          <w:tab w:leader="none" w:pos="967" w:val="left"/>
        </w:tabs>
        <w:numPr>
          <w:ilvl w:val="1"/>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Effect of Change in Control on Awards. </w:t>
      </w:r>
      <w:r>
        <w:rPr>
          <w:rFonts w:ascii="Arial" w:cs="Arial" w:eastAsia="Arial" w:hAnsi="Arial"/>
          <w:sz w:val="17"/>
          <w:szCs w:val="17"/>
          <w:color w:val="auto"/>
        </w:rPr>
        <w:t>Upon a Change in Control, each outstanding Award shall become 100% vested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Arial" w:cs="Arial" w:eastAsia="Arial" w:hAnsi="Arial"/>
          <w:sz w:val="17"/>
          <w:szCs w:val="17"/>
          <w:b w:val="1"/>
          <w:bCs w:val="1"/>
          <w:i w:val="1"/>
          <w:iCs w:val="1"/>
          <w:color w:val="auto"/>
        </w:rPr>
        <w:t>Acquiring Corporation</w:t>
      </w:r>
      <w:r>
        <w:rPr>
          <w:rFonts w:ascii="Arial" w:cs="Arial" w:eastAsia="Arial" w:hAnsi="Arial"/>
          <w:sz w:val="17"/>
          <w:szCs w:val="17"/>
          <w:color w:val="auto"/>
        </w:rPr>
        <w:t>”) in connection with the Change in Control nor exercised as of the date of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81" w:right="339" w:bottom="1440" w:gutter="0" w:footer="0" w:header="0"/>
        </w:sectPr>
      </w:pPr>
    </w:p>
    <w:bookmarkStart w:id="71" w:name="page72"/>
    <w:bookmarkEnd w:id="71"/>
    <w:p>
      <w:pPr>
        <w:ind w:left="1300" w:right="40"/>
        <w:spacing w:after="0" w:line="268" w:lineRule="auto"/>
        <w:rPr>
          <w:sz w:val="20"/>
          <w:szCs w:val="20"/>
          <w:color w:val="auto"/>
        </w:rPr>
      </w:pPr>
      <w:r>
        <w:rPr>
          <w:rFonts w:ascii="Arial" w:cs="Arial" w:eastAsia="Arial" w:hAnsi="Arial"/>
          <w:sz w:val="17"/>
          <w:szCs w:val="17"/>
          <w:color w:val="auto"/>
        </w:rPr>
        <w:t xml:space="preserve">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72" w:lineRule="exact"/>
        <w:rPr>
          <w:sz w:val="20"/>
          <w:szCs w:val="20"/>
          <w:color w:val="auto"/>
        </w:rPr>
      </w:pPr>
    </w:p>
    <w:p>
      <w:pPr>
        <w:ind w:left="420" w:hanging="412"/>
        <w:spacing w:after="0"/>
        <w:tabs>
          <w:tab w:leader="none" w:pos="4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55" w:lineRule="exact"/>
        <w:rPr>
          <w:sz w:val="20"/>
          <w:szCs w:val="20"/>
          <w:color w:val="auto"/>
        </w:rPr>
      </w:pPr>
    </w:p>
    <w:p>
      <w:pPr>
        <w:ind w:left="420" w:hanging="412"/>
        <w:spacing w:after="0"/>
        <w:tabs>
          <w:tab w:leader="none" w:pos="4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58" w:lineRule="exact"/>
        <w:rPr>
          <w:sz w:val="20"/>
          <w:szCs w:val="20"/>
          <w:color w:val="auto"/>
        </w:rPr>
      </w:pPr>
    </w:p>
    <w:p>
      <w:pPr>
        <w:ind w:left="420" w:hanging="412"/>
        <w:spacing w:after="0"/>
        <w:tabs>
          <w:tab w:leader="none" w:pos="4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67" w:lineRule="exact"/>
        <w:rPr>
          <w:sz w:val="20"/>
          <w:szCs w:val="20"/>
          <w:color w:val="auto"/>
        </w:rPr>
      </w:pPr>
    </w:p>
    <w:p>
      <w:pPr>
        <w:ind w:left="420" w:hanging="412"/>
        <w:spacing w:after="0"/>
        <w:tabs>
          <w:tab w:leader="none" w:pos="4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81" w:right="339" w:bottom="1440" w:gutter="0" w:footer="0" w:header="0"/>
        </w:sectPr>
      </w:pPr>
    </w:p>
    <w:bookmarkStart w:id="72" w:name="page73"/>
    <w:bookmarkEnd w:id="72"/>
    <w:p>
      <w:pPr>
        <w:jc w:val="both"/>
        <w:ind w:firstLine="648"/>
        <w:spacing w:after="0" w:line="271" w:lineRule="auto"/>
        <w:rPr>
          <w:sz w:val="20"/>
          <w:szCs w:val="20"/>
          <w:color w:val="auto"/>
        </w:rPr>
      </w:pPr>
      <w:r>
        <w:rPr>
          <w:rFonts w:ascii="Arial" w:cs="Arial" w:eastAsia="Arial" w:hAnsi="Arial"/>
          <w:sz w:val="17"/>
          <w:szCs w:val="17"/>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66" w:lineRule="exact"/>
        <w:rPr>
          <w:sz w:val="20"/>
          <w:szCs w:val="20"/>
          <w:color w:val="auto"/>
        </w:rPr>
      </w:pPr>
    </w:p>
    <w:p>
      <w:pPr>
        <w:ind w:left="420" w:hanging="412"/>
        <w:spacing w:after="0"/>
        <w:tabs>
          <w:tab w:leader="none" w:pos="4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81"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450" w:lineRule="auto"/>
        <w:rPr>
          <w:sz w:val="20"/>
          <w:szCs w:val="20"/>
          <w:color w:val="auto"/>
        </w:rPr>
      </w:pPr>
      <w:r>
        <w:rPr>
          <w:rFonts w:ascii="Arial" w:cs="Arial" w:eastAsia="Arial" w:hAnsi="Arial"/>
          <w:sz w:val="16"/>
          <w:szCs w:val="16"/>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1174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1174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-528955</wp:posOffset>
            </wp:positionV>
            <wp:extent cx="1174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-743585</wp:posOffset>
            </wp:positionV>
            <wp:extent cx="1174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-957580</wp:posOffset>
            </wp:positionV>
            <wp:extent cx="1174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-1172210</wp:posOffset>
            </wp:positionV>
            <wp:extent cx="1174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-1386205</wp:posOffset>
            </wp:positionV>
            <wp:extent cx="1174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1174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74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1174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1174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74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80"/>
        <w:spacing w:after="0" w:line="500" w:lineRule="auto"/>
        <w:rPr>
          <w:sz w:val="20"/>
          <w:szCs w:val="20"/>
          <w:color w:val="auto"/>
        </w:rPr>
      </w:pPr>
      <w:r>
        <w:rPr>
          <w:rFonts w:ascii="Arial" w:cs="Arial" w:eastAsia="Arial" w:hAnsi="Arial"/>
          <w:sz w:val="16"/>
          <w:szCs w:val="16"/>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1174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-339725</wp:posOffset>
            </wp:positionV>
            <wp:extent cx="1174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74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74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74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74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Arial" w:cs="Arial" w:eastAsia="Arial" w:hAnsi="Arial"/>
          <w:sz w:val="18"/>
          <w:szCs w:val="18"/>
          <w:b w:val="1"/>
          <w:bCs w:val="1"/>
          <w:u w:val="single" w:color="auto"/>
          <w:color w:val="auto"/>
        </w:rPr>
        <w:t>PLAN HISTORY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Compensation Committee amends Third Amended and Restated Plan, increasing the reserve by 700,000 shares and providing for performance-based awards, approved by stockholders at their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586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5863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8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Compensation Committee amends Third Amended and Restated Plan, increasing the reserve by 750,000 shares. The Plan was also amended to clarify the Compensation Committee’s authority to prescribe adjustments to the performance measures set forth in Section 12.2 of the Plan, which are used to set performance goals for incentive awards under the Plan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586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material terms of the Plan were amended to expand potential performance measures that can be established by the Board or the Compensation Committee with respect to annual incentive awards or performance-based awards. The Fourth Amendment also permits the Board or the Compensation Committee to adjust the performance measures in a manner that complies with Treasury Regulations governing modifications to performance measures under Section 162(m) of the Internal Revenue Code. Additionally, under the Fourth Amendment, the Board or Compensation Committee may designate any awards available under the Plan as performance-based awards. Finally, the Fourth Amendment restricts the number of shares of the Company’s common stock that can be settled, or cash that can be paid, in respect of a performance-based award in a single calendar year to any Plan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5863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Compensation Committee adopts Fifth Amended and Restated Plan, increasing the reserve by 200,000 shares and prohibiting the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5863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8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Compensation Committee adopts Sixth Amended and Restated Plan, increasing the reserve by 200,000 shares. The Plan was also amended to (a) include Stock Appreciation Rights, Restricted Stock Units, and Other Stock-Based Awards as types of Awards available for issuance under the Plan, (b) conform the Plan to changes made to Section 162(m) of the Code by the Tax Cuts and Jobs Act of 2017, and (c) 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wp:posOffset>
            </wp:positionV>
            <wp:extent cx="5863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5863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5863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1340" w:space="620"/>
            <w:col w:w="9120"/>
          </w:cols>
          <w:pgMar w:left="340" w:top="769" w:right="4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90"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PROXY SOLICITED BY THE BOARD OF DIRECTORS FOR</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THE ANNUAL MEETING TO BE HELD ON APRIL 28, 2021</w:t>
      </w:r>
    </w:p>
    <w:p>
      <w:pPr>
        <w:spacing w:after="0" w:line="222" w:lineRule="exact"/>
        <w:rPr>
          <w:sz w:val="20"/>
          <w:szCs w:val="20"/>
          <w:color w:val="auto"/>
        </w:rPr>
      </w:pPr>
    </w:p>
    <w:p>
      <w:pPr>
        <w:ind w:right="20" w:firstLine="526"/>
        <w:spacing w:after="0" w:line="241" w:lineRule="auto"/>
        <w:rPr>
          <w:sz w:val="20"/>
          <w:szCs w:val="20"/>
          <w:color w:val="auto"/>
        </w:rPr>
      </w:pPr>
      <w:r>
        <w:rPr>
          <w:rFonts w:ascii="Arial" w:cs="Arial" w:eastAsia="Arial" w:hAnsi="Arial"/>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Arial" w:cs="Arial" w:eastAsia="Arial" w:hAnsi="Arial"/>
          <w:sz w:val="18"/>
          <w:szCs w:val="18"/>
          <w:i w:val="1"/>
          <w:iCs w:val="1"/>
          <w:color w:val="auto"/>
        </w:rPr>
        <w:t>www.virtualshareholdermeeting.com/WHG2021</w:t>
      </w:r>
      <w:r>
        <w:rPr>
          <w:rFonts w:ascii="Arial" w:cs="Arial" w:eastAsia="Arial" w:hAnsi="Arial"/>
          <w:sz w:val="18"/>
          <w:szCs w:val="18"/>
          <w:color w:val="auto"/>
        </w:rPr>
        <w:t xml:space="preserve"> on Wednesday, April 28, 2021, at 10:00 a.m., Central Time, and any postponements or adjournments thereof, as fully as the undersigned could if personally present, revoking any proxy or proxies heretofore given.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935" w:right="359" w:bottom="1440" w:gutter="0" w:footer="0" w:header="0"/>
        </w:sectPr>
      </w:pPr>
    </w:p>
    <w:bookmarkStart w:id="75" w:name="page76"/>
    <w:bookmarkEnd w:id="75"/>
    <w:p>
      <w:pPr>
        <w:spacing w:after="0"/>
        <w:tabs>
          <w:tab w:leader="none" w:pos="110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071995" cy="3420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199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and 4.</w:t>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 SHOWN</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 xml:space="preserve">HERE  </w:t>
      </w:r>
      <w:r>
        <w:rPr>
          <w:rFonts w:ascii="Arial" w:cs="Arial" w:eastAsia="Arial" w:hAnsi="Arial"/>
          <w:sz w:val="14"/>
          <w:szCs w:val="14"/>
          <w:color w:val="auto"/>
        </w:rPr>
        <w:t>x</w:t>
      </w:r>
    </w:p>
    <w:p>
      <w:pPr>
        <w:sectPr>
          <w:pgSz w:w="11900" w:h="16838" w:orient="portrait"/>
          <w:cols w:equalWidth="0" w:num="1">
            <w:col w:w="11240"/>
          </w:cols>
          <w:pgMar w:left="340" w:top="1394" w:right="319" w:bottom="1440" w:gutter="0" w:footer="0" w:header="0"/>
        </w:sectPr>
      </w:pPr>
    </w:p>
    <w:p>
      <w:pPr>
        <w:spacing w:after="0" w:line="221" w:lineRule="exact"/>
        <w:rPr>
          <w:sz w:val="20"/>
          <w:szCs w:val="20"/>
          <w:color w:val="auto"/>
        </w:rPr>
      </w:pPr>
    </w:p>
    <w:p>
      <w:pPr>
        <w:ind w:right="240" w:firstLine="6"/>
        <w:spacing w:after="0" w:line="224" w:lineRule="auto"/>
        <w:tabs>
          <w:tab w:leader="none" w:pos="14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Election of six directors to hold office until the next annual meeting of Westwood’s stockholders and until their respective successors shall have been duly elected and qualified.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gridSpan w:val="2"/>
          </w:tcPr>
          <w:p>
            <w:pPr>
              <w:ind w:left="28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88"/>
        </w:trPr>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60" w:type="dxa"/>
            <w:vAlign w:val="bottom"/>
            <w:gridSpan w:val="3"/>
          </w:tcPr>
          <w:p>
            <w:pPr>
              <w:ind w:left="160"/>
              <w:spacing w:after="0"/>
              <w:rPr>
                <w:sz w:val="20"/>
                <w:szCs w:val="20"/>
                <w:color w:val="auto"/>
              </w:rPr>
            </w:pPr>
            <w:r>
              <w:rPr>
                <w:rFonts w:ascii="Arial" w:cs="Arial" w:eastAsia="Arial" w:hAnsi="Arial"/>
                <w:sz w:val="11"/>
                <w:szCs w:val="11"/>
                <w:b w:val="1"/>
                <w:bCs w:val="1"/>
                <w:color w:val="auto"/>
              </w:rPr>
              <w:t>FOR ALL NOMINEES</w:t>
            </w:r>
          </w:p>
        </w:tc>
        <w:tc>
          <w:tcPr>
            <w:tcW w:w="560" w:type="dxa"/>
            <w:vAlign w:val="bottom"/>
          </w:tcPr>
          <w:p>
            <w:pPr>
              <w:ind w:left="280"/>
              <w:spacing w:after="0"/>
              <w:rPr>
                <w:sz w:val="20"/>
                <w:szCs w:val="20"/>
                <w:color w:val="auto"/>
              </w:rPr>
            </w:pPr>
            <w:r>
              <w:rPr>
                <w:rFonts w:ascii="Arial" w:cs="Arial" w:eastAsia="Arial" w:hAnsi="Arial"/>
                <w:sz w:val="14"/>
                <w:szCs w:val="14"/>
                <w:color w:val="auto"/>
              </w:rPr>
              <w:t>01)</w:t>
            </w:r>
          </w:p>
        </w:tc>
        <w:tc>
          <w:tcPr>
            <w:tcW w:w="2160" w:type="dxa"/>
            <w:vAlign w:val="bottom"/>
          </w:tcPr>
          <w:p>
            <w:pPr>
              <w:ind w:left="100"/>
              <w:spacing w:after="0"/>
              <w:rPr>
                <w:sz w:val="20"/>
                <w:szCs w:val="20"/>
                <w:color w:val="auto"/>
              </w:rPr>
            </w:pPr>
            <w:r>
              <w:rPr>
                <w:rFonts w:ascii="Arial" w:cs="Arial" w:eastAsia="Arial" w:hAnsi="Arial"/>
                <w:sz w:val="14"/>
                <w:szCs w:val="14"/>
                <w:color w:val="auto"/>
              </w:rPr>
              <w:t>Brian O. Casey</w:t>
            </w:r>
          </w:p>
        </w:tc>
        <w:tc>
          <w:tcPr>
            <w:tcW w:w="0" w:type="dxa"/>
            <w:vAlign w:val="bottom"/>
          </w:tcPr>
          <w:p>
            <w:pPr>
              <w:spacing w:after="0"/>
              <w:rPr>
                <w:sz w:val="1"/>
                <w:szCs w:val="1"/>
                <w:color w:val="auto"/>
              </w:rPr>
            </w:pPr>
          </w:p>
        </w:tc>
      </w:tr>
      <w:tr>
        <w:trPr>
          <w:trHeight w:val="94"/>
        </w:trPr>
        <w:tc>
          <w:tcPr>
            <w:tcW w:w="2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ind w:left="280"/>
              <w:spacing w:after="0" w:line="95" w:lineRule="exact"/>
              <w:rPr>
                <w:sz w:val="20"/>
                <w:szCs w:val="20"/>
                <w:color w:val="auto"/>
              </w:rPr>
            </w:pPr>
            <w:r>
              <w:rPr>
                <w:rFonts w:ascii="Arial" w:cs="Arial" w:eastAsia="Arial" w:hAnsi="Arial"/>
                <w:sz w:val="10"/>
                <w:szCs w:val="10"/>
                <w:color w:val="auto"/>
              </w:rPr>
              <w:t>02)</w:t>
            </w:r>
          </w:p>
        </w:tc>
        <w:tc>
          <w:tcPr>
            <w:tcW w:w="2160" w:type="dxa"/>
            <w:vAlign w:val="bottom"/>
          </w:tcPr>
          <w:p>
            <w:pPr>
              <w:ind w:left="100"/>
              <w:spacing w:after="0" w:line="95" w:lineRule="exact"/>
              <w:rPr>
                <w:sz w:val="20"/>
                <w:szCs w:val="20"/>
                <w:color w:val="auto"/>
              </w:rPr>
            </w:pPr>
            <w:r>
              <w:rPr>
                <w:rFonts w:ascii="Arial" w:cs="Arial" w:eastAsia="Arial" w:hAnsi="Arial"/>
                <w:sz w:val="10"/>
                <w:szCs w:val="10"/>
                <w:color w:val="auto"/>
              </w:rPr>
              <w:t>Richard M. Frank</w:t>
            </w:r>
          </w:p>
        </w:tc>
        <w:tc>
          <w:tcPr>
            <w:tcW w:w="0" w:type="dxa"/>
            <w:vAlign w:val="bottom"/>
          </w:tcPr>
          <w:p>
            <w:pPr>
              <w:spacing w:after="0"/>
              <w:rPr>
                <w:sz w:val="1"/>
                <w:szCs w:val="1"/>
                <w:color w:val="auto"/>
              </w:rPr>
            </w:pPr>
          </w:p>
        </w:tc>
      </w:tr>
      <w:tr>
        <w:trPr>
          <w:trHeight w:val="135"/>
        </w:trPr>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60" w:type="dxa"/>
            <w:vAlign w:val="bottom"/>
            <w:gridSpan w:val="3"/>
          </w:tcPr>
          <w:p>
            <w:pPr>
              <w:ind w:left="160"/>
              <w:spacing w:after="0"/>
              <w:rPr>
                <w:sz w:val="20"/>
                <w:szCs w:val="20"/>
                <w:color w:val="auto"/>
              </w:rPr>
            </w:pPr>
            <w:r>
              <w:rPr>
                <w:rFonts w:ascii="Arial" w:cs="Arial" w:eastAsia="Arial" w:hAnsi="Arial"/>
                <w:sz w:val="11"/>
                <w:szCs w:val="11"/>
                <w:b w:val="1"/>
                <w:bCs w:val="1"/>
                <w:color w:val="auto"/>
              </w:rPr>
              <w:t>WITHHOLD AUTHORITY</w:t>
            </w:r>
          </w:p>
        </w:tc>
        <w:tc>
          <w:tcPr>
            <w:tcW w:w="560" w:type="dxa"/>
            <w:vAlign w:val="bottom"/>
          </w:tcPr>
          <w:p>
            <w:pPr>
              <w:ind w:left="280"/>
              <w:spacing w:after="0" w:line="135" w:lineRule="exact"/>
              <w:rPr>
                <w:sz w:val="20"/>
                <w:szCs w:val="20"/>
                <w:color w:val="auto"/>
              </w:rPr>
            </w:pPr>
            <w:r>
              <w:rPr>
                <w:rFonts w:ascii="Arial" w:cs="Arial" w:eastAsia="Arial" w:hAnsi="Arial"/>
                <w:sz w:val="14"/>
                <w:szCs w:val="14"/>
                <w:color w:val="auto"/>
              </w:rPr>
              <w:t>03)</w:t>
            </w:r>
          </w:p>
        </w:tc>
        <w:tc>
          <w:tcPr>
            <w:tcW w:w="2160" w:type="dxa"/>
            <w:vAlign w:val="bottom"/>
          </w:tcPr>
          <w:p>
            <w:pPr>
              <w:ind w:left="100"/>
              <w:spacing w:after="0" w:line="135" w:lineRule="exact"/>
              <w:rPr>
                <w:sz w:val="20"/>
                <w:szCs w:val="20"/>
                <w:color w:val="auto"/>
              </w:rPr>
            </w:pPr>
            <w:r>
              <w:rPr>
                <w:rFonts w:ascii="Arial" w:cs="Arial" w:eastAsia="Arial" w:hAnsi="Arial"/>
                <w:sz w:val="14"/>
                <w:szCs w:val="14"/>
                <w:color w:val="auto"/>
              </w:rPr>
              <w:t>Susan M. Byrne</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1760" w:type="dxa"/>
            <w:vAlign w:val="bottom"/>
            <w:gridSpan w:val="3"/>
          </w:tcPr>
          <w:p>
            <w:pPr>
              <w:ind w:left="160"/>
              <w:spacing w:after="0"/>
              <w:rPr>
                <w:sz w:val="20"/>
                <w:szCs w:val="20"/>
                <w:color w:val="auto"/>
              </w:rPr>
            </w:pPr>
            <w:r>
              <w:rPr>
                <w:rFonts w:ascii="Arial" w:cs="Arial" w:eastAsia="Arial" w:hAnsi="Arial"/>
                <w:sz w:val="11"/>
                <w:szCs w:val="11"/>
                <w:b w:val="1"/>
                <w:bCs w:val="1"/>
                <w:color w:val="auto"/>
              </w:rPr>
              <w:t>FOR ALL NOMINEES</w:t>
            </w:r>
          </w:p>
        </w:tc>
        <w:tc>
          <w:tcPr>
            <w:tcW w:w="560" w:type="dxa"/>
            <w:vAlign w:val="bottom"/>
          </w:tcPr>
          <w:p>
            <w:pPr>
              <w:ind w:left="280"/>
              <w:spacing w:after="0" w:line="135" w:lineRule="exact"/>
              <w:rPr>
                <w:sz w:val="20"/>
                <w:szCs w:val="20"/>
                <w:color w:val="auto"/>
              </w:rPr>
            </w:pPr>
            <w:r>
              <w:rPr>
                <w:rFonts w:ascii="Arial" w:cs="Arial" w:eastAsia="Arial" w:hAnsi="Arial"/>
                <w:sz w:val="14"/>
                <w:szCs w:val="14"/>
                <w:color w:val="auto"/>
              </w:rPr>
              <w:t>04)</w:t>
            </w:r>
          </w:p>
        </w:tc>
        <w:tc>
          <w:tcPr>
            <w:tcW w:w="2160" w:type="dxa"/>
            <w:vAlign w:val="bottom"/>
          </w:tcPr>
          <w:p>
            <w:pPr>
              <w:ind w:left="100"/>
              <w:spacing w:after="0" w:line="135" w:lineRule="exact"/>
              <w:rPr>
                <w:sz w:val="20"/>
                <w:szCs w:val="20"/>
                <w:color w:val="auto"/>
              </w:rPr>
            </w:pPr>
            <w:r>
              <w:rPr>
                <w:rFonts w:ascii="Arial" w:cs="Arial" w:eastAsia="Arial" w:hAnsi="Arial"/>
                <w:sz w:val="14"/>
                <w:szCs w:val="14"/>
                <w:color w:val="auto"/>
              </w:rPr>
              <w:t>Ellen H. Masterson</w:t>
            </w:r>
          </w:p>
        </w:tc>
        <w:tc>
          <w:tcPr>
            <w:tcW w:w="0" w:type="dxa"/>
            <w:vAlign w:val="bottom"/>
          </w:tcPr>
          <w:p>
            <w:pPr>
              <w:spacing w:after="0"/>
              <w:rPr>
                <w:sz w:val="1"/>
                <w:szCs w:val="1"/>
                <w:color w:val="auto"/>
              </w:rPr>
            </w:pPr>
          </w:p>
        </w:tc>
      </w:tr>
      <w:tr>
        <w:trPr>
          <w:trHeight w:val="135"/>
        </w:trPr>
        <w:tc>
          <w:tcPr>
            <w:tcW w:w="260" w:type="dxa"/>
            <w:vAlign w:val="bottom"/>
            <w:vMerge w:val="restart"/>
          </w:tcPr>
          <w:p>
            <w:pPr>
              <w:spacing w:after="0" w:line="147" w:lineRule="exact"/>
              <w:rPr>
                <w:sz w:val="20"/>
                <w:szCs w:val="20"/>
                <w:color w:val="auto"/>
              </w:rPr>
            </w:pPr>
            <w:r>
              <w:rPr>
                <w:rFonts w:ascii="Arial" w:cs="Arial" w:eastAsia="Arial" w:hAnsi="Arial"/>
                <w:sz w:val="17"/>
                <w:szCs w:val="17"/>
                <w:color w:val="auto"/>
              </w:rPr>
              <w:t>o</w:t>
            </w:r>
          </w:p>
        </w:tc>
        <w:tc>
          <w:tcPr>
            <w:tcW w:w="1220" w:type="dxa"/>
            <w:vAlign w:val="bottom"/>
            <w:gridSpan w:val="2"/>
            <w:vMerge w:val="restart"/>
          </w:tcPr>
          <w:p>
            <w:pPr>
              <w:ind w:left="160"/>
              <w:spacing w:after="0"/>
              <w:rPr>
                <w:sz w:val="20"/>
                <w:szCs w:val="20"/>
                <w:color w:val="auto"/>
              </w:rPr>
            </w:pPr>
            <w:r>
              <w:rPr>
                <w:rFonts w:ascii="Arial" w:cs="Arial" w:eastAsia="Arial" w:hAnsi="Arial"/>
                <w:sz w:val="11"/>
                <w:szCs w:val="11"/>
                <w:color w:val="auto"/>
                <w:w w:val="88"/>
              </w:rPr>
              <w:t>(See instructions below)</w:t>
            </w:r>
          </w:p>
        </w:tc>
        <w:tc>
          <w:tcPr>
            <w:tcW w:w="540" w:type="dxa"/>
            <w:vAlign w:val="bottom"/>
          </w:tcPr>
          <w:p>
            <w:pPr>
              <w:spacing w:after="0"/>
              <w:rPr>
                <w:sz w:val="11"/>
                <w:szCs w:val="11"/>
                <w:color w:val="auto"/>
              </w:rPr>
            </w:pPr>
          </w:p>
        </w:tc>
        <w:tc>
          <w:tcPr>
            <w:tcW w:w="560" w:type="dxa"/>
            <w:vAlign w:val="bottom"/>
          </w:tcPr>
          <w:p>
            <w:pPr>
              <w:ind w:left="280"/>
              <w:spacing w:after="0" w:line="135" w:lineRule="exact"/>
              <w:rPr>
                <w:sz w:val="20"/>
                <w:szCs w:val="20"/>
                <w:color w:val="auto"/>
              </w:rPr>
            </w:pPr>
            <w:r>
              <w:rPr>
                <w:rFonts w:ascii="Arial" w:cs="Arial" w:eastAsia="Arial" w:hAnsi="Arial"/>
                <w:sz w:val="14"/>
                <w:szCs w:val="14"/>
                <w:color w:val="auto"/>
              </w:rPr>
              <w:t>05)</w:t>
            </w:r>
          </w:p>
        </w:tc>
        <w:tc>
          <w:tcPr>
            <w:tcW w:w="2160" w:type="dxa"/>
            <w:vAlign w:val="bottom"/>
          </w:tcPr>
          <w:p>
            <w:pPr>
              <w:ind w:left="100"/>
              <w:spacing w:after="0" w:line="135" w:lineRule="exact"/>
              <w:rPr>
                <w:sz w:val="20"/>
                <w:szCs w:val="20"/>
                <w:color w:val="auto"/>
              </w:rPr>
            </w:pPr>
            <w:r>
              <w:rPr>
                <w:rFonts w:ascii="Arial" w:cs="Arial" w:eastAsia="Arial" w:hAnsi="Arial"/>
                <w:sz w:val="14"/>
                <w:szCs w:val="14"/>
                <w:color w:val="auto"/>
              </w:rPr>
              <w:t>Geoffrey R. Norman</w:t>
            </w:r>
          </w:p>
        </w:tc>
        <w:tc>
          <w:tcPr>
            <w:tcW w:w="0" w:type="dxa"/>
            <w:vAlign w:val="bottom"/>
          </w:tcPr>
          <w:p>
            <w:pPr>
              <w:spacing w:after="0"/>
              <w:rPr>
                <w:sz w:val="1"/>
                <w:szCs w:val="1"/>
                <w:color w:val="auto"/>
              </w:rPr>
            </w:pPr>
          </w:p>
        </w:tc>
      </w:tr>
      <w:tr>
        <w:trPr>
          <w:trHeight w:val="12"/>
        </w:trPr>
        <w:tc>
          <w:tcPr>
            <w:tcW w:w="2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ind w:left="280"/>
              <w:spacing w:after="0"/>
              <w:rPr>
                <w:sz w:val="20"/>
                <w:szCs w:val="20"/>
                <w:color w:val="auto"/>
              </w:rPr>
            </w:pPr>
            <w:r>
              <w:rPr>
                <w:rFonts w:ascii="Arial" w:cs="Arial" w:eastAsia="Arial" w:hAnsi="Arial"/>
                <w:sz w:val="1"/>
                <w:szCs w:val="1"/>
                <w:color w:val="auto"/>
              </w:rPr>
              <w:t>06)</w:t>
            </w:r>
          </w:p>
        </w:tc>
        <w:tc>
          <w:tcPr>
            <w:tcW w:w="2160" w:type="dxa"/>
            <w:vAlign w:val="bottom"/>
          </w:tcPr>
          <w:p>
            <w:pPr>
              <w:ind w:left="100"/>
              <w:spacing w:after="0"/>
              <w:rPr>
                <w:sz w:val="20"/>
                <w:szCs w:val="20"/>
                <w:color w:val="auto"/>
              </w:rPr>
            </w:pPr>
            <w:r>
              <w:rPr>
                <w:rFonts w:ascii="Arial" w:cs="Arial" w:eastAsia="Arial" w:hAnsi="Arial"/>
                <w:sz w:val="1"/>
                <w:szCs w:val="1"/>
                <w:color w:val="auto"/>
              </w:rPr>
              <w:t>Raymond E. Wooldridge</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FOR ALL EXCEPT</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4"/>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INSTRUCTIONS:</w:t>
            </w:r>
          </w:p>
        </w:tc>
        <w:tc>
          <w:tcPr>
            <w:tcW w:w="3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14"/>
                <w:szCs w:val="14"/>
                <w:color w:val="auto"/>
              </w:rPr>
              <w:t>To withhold authority to vote for any</w:t>
            </w:r>
          </w:p>
        </w:tc>
        <w:tc>
          <w:tcPr>
            <w:tcW w:w="0" w:type="dxa"/>
            <w:vAlign w:val="bottom"/>
          </w:tcPr>
          <w:p>
            <w:pPr>
              <w:spacing w:after="0"/>
              <w:rPr>
                <w:sz w:val="1"/>
                <w:szCs w:val="1"/>
                <w:color w:val="auto"/>
              </w:rPr>
            </w:pPr>
          </w:p>
        </w:tc>
      </w:tr>
      <w:tr>
        <w:trPr>
          <w:trHeight w:val="99"/>
        </w:trPr>
        <w:tc>
          <w:tcPr>
            <w:tcW w:w="1140" w:type="dxa"/>
            <w:vAlign w:val="bottom"/>
            <w:tcBorders>
              <w:bottom w:val="single" w:sz="8" w:color="auto"/>
            </w:tcBorders>
            <w:gridSpan w:val="2"/>
            <w:vMerge w:val="continue"/>
          </w:tcPr>
          <w:p>
            <w:pPr>
              <w:spacing w:after="0"/>
              <w:rPr>
                <w:sz w:val="8"/>
                <w:szCs w:val="8"/>
                <w:color w:val="auto"/>
              </w:rPr>
            </w:pPr>
          </w:p>
        </w:tc>
        <w:tc>
          <w:tcPr>
            <w:tcW w:w="340" w:type="dxa"/>
            <w:vAlign w:val="bottom"/>
            <w:vMerge w:val="restart"/>
          </w:tcPr>
          <w:p>
            <w:pPr>
              <w:spacing w:after="0"/>
              <w:rPr>
                <w:sz w:val="8"/>
                <w:szCs w:val="8"/>
                <w:color w:val="auto"/>
              </w:rPr>
            </w:pPr>
          </w:p>
        </w:tc>
        <w:tc>
          <w:tcPr>
            <w:tcW w:w="3260" w:type="dxa"/>
            <w:vAlign w:val="bottom"/>
            <w:gridSpan w:val="3"/>
            <w:vMerge w:val="restart"/>
          </w:tcPr>
          <w:p>
            <w:pPr>
              <w:ind w:left="20"/>
              <w:spacing w:after="0" w:line="142" w:lineRule="exact"/>
              <w:rPr>
                <w:sz w:val="20"/>
                <w:szCs w:val="20"/>
                <w:color w:val="auto"/>
              </w:rPr>
            </w:pPr>
            <w:r>
              <w:rPr>
                <w:rFonts w:ascii="Arial" w:cs="Arial" w:eastAsia="Arial" w:hAnsi="Arial"/>
                <w:sz w:val="14"/>
                <w:szCs w:val="14"/>
                <w:color w:val="auto"/>
                <w:w w:val="96"/>
              </w:rPr>
              <w:t>individual nominee(s), mark “For All Except” and write</w:t>
            </w:r>
          </w:p>
        </w:tc>
        <w:tc>
          <w:tcPr>
            <w:tcW w:w="0" w:type="dxa"/>
            <w:vAlign w:val="bottom"/>
          </w:tcPr>
          <w:p>
            <w:pPr>
              <w:spacing w:after="0"/>
              <w:rPr>
                <w:sz w:val="1"/>
                <w:szCs w:val="1"/>
                <w:color w:val="auto"/>
              </w:rPr>
            </w:pPr>
          </w:p>
        </w:tc>
      </w:tr>
      <w:tr>
        <w:trPr>
          <w:trHeight w:val="27"/>
        </w:trPr>
        <w:tc>
          <w:tcPr>
            <w:tcW w:w="1140" w:type="dxa"/>
            <w:vAlign w:val="bottom"/>
            <w:gridSpan w:val="2"/>
          </w:tcPr>
          <w:p>
            <w:pPr>
              <w:spacing w:after="0"/>
              <w:rPr>
                <w:sz w:val="2"/>
                <w:szCs w:val="2"/>
                <w:color w:val="auto"/>
              </w:rPr>
            </w:pPr>
          </w:p>
        </w:tc>
        <w:tc>
          <w:tcPr>
            <w:tcW w:w="340" w:type="dxa"/>
            <w:vAlign w:val="bottom"/>
            <w:vMerge w:val="continue"/>
          </w:tcPr>
          <w:p>
            <w:pPr>
              <w:spacing w:after="0"/>
              <w:rPr>
                <w:sz w:val="2"/>
                <w:szCs w:val="2"/>
                <w:color w:val="auto"/>
              </w:rPr>
            </w:pPr>
          </w:p>
        </w:tc>
        <w:tc>
          <w:tcPr>
            <w:tcW w:w="32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500"/>
        <w:spacing w:after="0"/>
        <w:rPr>
          <w:sz w:val="20"/>
          <w:szCs w:val="20"/>
          <w:color w:val="auto"/>
        </w:rPr>
      </w:pPr>
      <w:r>
        <w:rPr>
          <w:rFonts w:ascii="Arial" w:cs="Arial" w:eastAsia="Arial" w:hAnsi="Arial"/>
          <w:sz w:val="14"/>
          <w:szCs w:val="14"/>
          <w:color w:val="auto"/>
        </w:rPr>
        <w:t>the number(s) of the nominee(s) on the line below.</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 w:hanging="10"/>
        <w:spacing w:after="0" w:line="243" w:lineRule="auto"/>
        <w:tabs>
          <w:tab w:leader="none" w:pos="19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Ratification of the appointment of Deloitte &amp; Touche LLP as Westwood’s independent auditors for the year ending December 31, 2021.</w:t>
      </w:r>
    </w:p>
    <w:p>
      <w:pPr>
        <w:spacing w:after="0" w:line="193" w:lineRule="exact"/>
        <w:rPr>
          <w:rFonts w:ascii="Arial" w:cs="Arial" w:eastAsia="Arial" w:hAnsi="Arial"/>
          <w:sz w:val="13"/>
          <w:szCs w:val="13"/>
          <w:color w:val="auto"/>
        </w:rPr>
      </w:pPr>
    </w:p>
    <w:p>
      <w:pPr>
        <w:jc w:val="both"/>
        <w:ind w:left="10" w:right="60" w:hanging="10"/>
        <w:spacing w:after="0" w:line="224" w:lineRule="auto"/>
        <w:tabs>
          <w:tab w:leader="none" w:pos="15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approve the Eighth Amended and Restated Westwood Holdings Group, Inc. Stock Incentive Plan.</w:t>
      </w:r>
    </w:p>
    <w:p>
      <w:pPr>
        <w:spacing w:after="0" w:line="305" w:lineRule="exact"/>
        <w:rPr>
          <w:rFonts w:ascii="Arial" w:cs="Arial" w:eastAsia="Arial" w:hAnsi="Arial"/>
          <w:sz w:val="14"/>
          <w:szCs w:val="14"/>
          <w:color w:val="auto"/>
        </w:rPr>
      </w:pPr>
    </w:p>
    <w:p>
      <w:pPr>
        <w:ind w:left="10" w:right="420" w:hanging="10"/>
        <w:spacing w:after="0" w:line="269" w:lineRule="auto"/>
        <w:tabs>
          <w:tab w:leader="none" w:pos="154"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To cast a non-binding, advisory vote on Westwood's executive compensation.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1"/>
          <w:szCs w:val="11"/>
          <w:color w:val="auto"/>
        </w:rPr>
        <w:t>FOR</w:t>
      </w:r>
      <w:r>
        <w:rPr>
          <w:sz w:val="20"/>
          <w:szCs w:val="20"/>
          <w:color w:val="auto"/>
        </w:rPr>
        <w:tab/>
      </w:r>
      <w:r>
        <w:rPr>
          <w:rFonts w:ascii="Arial" w:cs="Arial" w:eastAsia="Arial" w:hAnsi="Arial"/>
          <w:sz w:val="11"/>
          <w:szCs w:val="11"/>
          <w:color w:val="auto"/>
        </w:rPr>
        <w:t>AGAINST</w:t>
      </w:r>
      <w:r>
        <w:rPr>
          <w:sz w:val="20"/>
          <w:szCs w:val="20"/>
          <w:color w:val="auto"/>
        </w:rPr>
        <w:tab/>
      </w:r>
      <w:r>
        <w:rPr>
          <w:rFonts w:ascii="Arial" w:cs="Arial" w:eastAsia="Arial" w:hAnsi="Arial"/>
          <w:sz w:val="10"/>
          <w:szCs w:val="10"/>
          <w:color w:val="auto"/>
        </w:rPr>
        <w:t>ABSTAIN</w:t>
      </w:r>
    </w:p>
    <w:p>
      <w:pPr>
        <w:spacing w:after="0" w:line="252"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79"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00" w:lineRule="exact"/>
        <w:rPr>
          <w:sz w:val="20"/>
          <w:szCs w:val="20"/>
          <w:color w:val="auto"/>
        </w:rPr>
      </w:pPr>
    </w:p>
    <w:p>
      <w:pPr>
        <w:spacing w:after="0" w:line="376"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885" w:lineRule="exact"/>
        <w:rPr>
          <w:sz w:val="20"/>
          <w:szCs w:val="20"/>
          <w:color w:val="auto"/>
        </w:rPr>
      </w:pPr>
    </w:p>
    <w:p>
      <w:pPr>
        <w:sectPr>
          <w:pgSz w:w="11900" w:h="16838" w:orient="portrait"/>
          <w:cols w:equalWidth="0" w:num="3">
            <w:col w:w="4740" w:space="450"/>
            <w:col w:w="2850" w:space="320"/>
            <w:col w:w="2880"/>
          </w:cols>
          <w:pgMar w:left="340" w:top="1394" w:right="319" w:bottom="1440" w:gutter="0" w:footer="0" w:header="0"/>
          <w:type w:val="continuous"/>
        </w:sectPr>
      </w:pPr>
    </w:p>
    <w:p>
      <w:pPr>
        <w:spacing w:after="0" w:line="383" w:lineRule="exact"/>
        <w:rPr>
          <w:sz w:val="20"/>
          <w:szCs w:val="20"/>
          <w:color w:val="auto"/>
        </w:rPr>
      </w:pPr>
    </w:p>
    <w:p>
      <w:pPr>
        <w:ind w:left="5200" w:right="260"/>
        <w:spacing w:after="0" w:line="224" w:lineRule="auto"/>
        <w:rPr>
          <w:sz w:val="20"/>
          <w:szCs w:val="20"/>
          <w:color w:val="auto"/>
        </w:rPr>
      </w:pPr>
      <w:r>
        <w:rPr>
          <w:rFonts w:ascii="Arial" w:cs="Arial" w:eastAsia="Arial" w:hAnsi="Arial"/>
          <w:sz w:val="14"/>
          <w:szCs w:val="14"/>
          <w:color w:val="auto"/>
        </w:rPr>
        <w:t>IN THEIR DISCRETION, THE PROXIES ARE AUTHORIZED TO VOTE UPON SUCH OTHER MATTERS AS MAY PROPERLY COME BEFORE THE ANNUAL MEETING OR ANY POSTPONEMENTS OR ADJOURNMENTS THEREOF.</w:t>
      </w:r>
    </w:p>
    <w:p>
      <w:pPr>
        <w:spacing w:after="0" w:line="238" w:lineRule="exact"/>
        <w:rPr>
          <w:sz w:val="20"/>
          <w:szCs w:val="20"/>
          <w:color w:val="auto"/>
        </w:rPr>
      </w:pPr>
    </w:p>
    <w:p>
      <w:pPr>
        <w:ind w:left="5200" w:right="260"/>
        <w:spacing w:after="0" w:line="206" w:lineRule="auto"/>
        <w:rPr>
          <w:sz w:val="20"/>
          <w:szCs w:val="20"/>
          <w:color w:val="auto"/>
        </w:rPr>
      </w:pPr>
      <w:r>
        <w:rPr>
          <w:rFonts w:ascii="Arial" w:cs="Arial" w:eastAsia="Arial" w:hAnsi="Arial"/>
          <w:sz w:val="13"/>
          <w:szCs w:val="13"/>
          <w:b w:val="1"/>
          <w:bCs w:val="1"/>
          <w:color w:val="auto"/>
        </w:rPr>
        <w:t>THIS PROXY, WHEN PROPERLY EXECUTED, WILL BE VOTED IN ACCORDANCE WITH THE SPECIFICATIONS MADE BELOW, BUT IF NO CHOICE IS INDICATED, THIS PROXY WILL BE VOTED "FOR" ALL DIRECTOR NOMINEES IN PROPOSAL 1 AND "FOR" PROPOSALS 2, 3, AND 4, AND IN THE DISCRETION OF THE PROXIES WITH RESPECT TO ANY OTHER MATTER AS MAY PROPERLY COME BEFORE THE ANNUAL MEETING OR ANY POSTPONEMENTS OR ADJOURNMENTS THEREOF.</w:t>
      </w:r>
    </w:p>
    <w:p>
      <w:pPr>
        <w:sectPr>
          <w:pgSz w:w="11900" w:h="16838" w:orient="portrait"/>
          <w:cols w:equalWidth="0" w:num="1">
            <w:col w:w="11240"/>
          </w:cols>
          <w:pgMar w:left="340" w:top="1394" w:right="31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Signature of Stockholder</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168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w w:val="97"/>
              </w:rPr>
              <w:t>Signature of Stockholder</w:t>
            </w:r>
          </w:p>
        </w:tc>
        <w:tc>
          <w:tcPr>
            <w:tcW w:w="194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Date:</w:t>
            </w:r>
          </w:p>
        </w:tc>
        <w:tc>
          <w:tcPr>
            <w:tcW w:w="1060" w:type="dxa"/>
            <w:vAlign w:val="bottom"/>
            <w:tcBorders>
              <w:top w:val="single" w:sz="8" w:color="auto"/>
              <w:bottom w:val="single" w:sz="8" w:color="auto"/>
              <w:right w:val="single" w:sz="8" w:color="auto"/>
            </w:tcBorders>
          </w:tcPr>
          <w:p>
            <w:pPr>
              <w:spacing w:after="0"/>
              <w:rPr>
                <w:sz w:val="16"/>
                <w:szCs w:val="16"/>
                <w:color w:val="auto"/>
              </w:rPr>
            </w:pP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Please sign exactly as your name or names appear on this Proxy. When shares are held jointly, each holder should sign. When signing as</w:t>
      </w:r>
    </w:p>
    <w:p>
      <w:pPr>
        <w:ind w:left="20" w:right="40"/>
        <w:spacing w:after="0" w:line="182" w:lineRule="auto"/>
        <w:rPr>
          <w:sz w:val="20"/>
          <w:szCs w:val="20"/>
          <w:color w:val="auto"/>
        </w:rPr>
      </w:pPr>
      <w:r>
        <w:rPr>
          <w:rFonts w:ascii="Arial" w:cs="Arial" w:eastAsia="Arial" w:hAnsi="Arial"/>
          <w:sz w:val="12"/>
          <w:szCs w:val="12"/>
          <w:color w:val="auto"/>
        </w:rPr>
        <w:t xml:space="preserve">executor, administrator, attorney, trustee or guardian, please give full title as such. If the signer is a corporation, please sign full corporate </w:t>
      </w:r>
      <w:r>
        <w:rPr>
          <w:rFonts w:ascii="Arial" w:cs="Arial" w:eastAsia="Arial" w:hAnsi="Arial"/>
          <w:sz w:val="25"/>
          <w:szCs w:val="25"/>
          <w:color w:val="auto"/>
          <w:vertAlign w:val="superscript"/>
        </w:rPr>
        <w:t>n</w:t>
      </w:r>
      <w:r>
        <w:rPr>
          <w:rFonts w:ascii="Arial" w:cs="Arial" w:eastAsia="Arial" w:hAnsi="Arial"/>
          <w:sz w:val="12"/>
          <w:szCs w:val="12"/>
          <w:color w:val="auto"/>
        </w:rPr>
        <w:t xml:space="preserve"> 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00" w:space="360"/>
            <w:col w:w="9180"/>
          </w:cols>
          <w:pgMar w:left="340" w:top="1394" w:right="319" w:bottom="1440" w:gutter="0" w:footer="0" w:header="0"/>
          <w:type w:val="continuous"/>
        </w:sect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w:t>
      </w:r>
    </w:p>
    <w:sectPr>
      <w:pgSz w:w="11900" w:h="16838" w:orient="portrait"/>
      <w:cols w:equalWidth="0" w:num="1">
        <w:col w:w="11240"/>
      </w:cols>
      <w:pgMar w:left="340" w:top="1394"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x"/>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x"/>
      <w:numFmt w:val="bullet"/>
      <w:start w:val="1"/>
    </w:lvl>
  </w:abstractNum>
  <w:abstractNum w:abstractNumId="4">
    <w:nsid w:val="1F48EAA1"/>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1381823A"/>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6">
    <w:nsid w:val="5DB70AE5"/>
    <w:multiLevelType w:val="hybridMultilevel"/>
    <w:lvl w:ilvl="0">
      <w:lvlJc w:val="left"/>
      <w:lvlText w:val="☐"/>
      <w:numFmt w:val="bullet"/>
      <w:start w:val="1"/>
    </w:lvl>
    <w:lvl w:ilvl="1">
      <w:lvlJc w:val="left"/>
      <w:lvlText w:val="(%2)"/>
      <w:numFmt w:val="decimal"/>
      <w:start w:val="1"/>
    </w:lvl>
  </w:abstractNum>
  <w:abstractNum w:abstractNumId="7">
    <w:nsid w:val="100F8FCA"/>
    <w:multiLevelType w:val="hybridMultilevel"/>
    <w:lvl w:ilvl="0">
      <w:lvlJc w:val="left"/>
      <w:lvlText w:val="%1:"/>
      <w:numFmt w:val="upperLetter"/>
      <w:start w:val="17"/>
    </w:lvl>
  </w:abstractNum>
  <w:abstractNum w:abstractNumId="8">
    <w:nsid w:val="6590700B"/>
    <w:multiLevelType w:val="hybridMultilevel"/>
    <w:lvl w:ilvl="0">
      <w:lvlJc w:val="left"/>
      <w:lvlText w:val="%1:"/>
      <w:numFmt w:val="upperLetter"/>
      <w:start w:val="1"/>
    </w:lvl>
  </w:abstractNum>
  <w:abstractNum w:abstractNumId="9">
    <w:nsid w:val="15014ACB"/>
    <w:multiLevelType w:val="hybridMultilevel"/>
    <w:lvl w:ilvl="0">
      <w:lvlJc w:val="left"/>
      <w:lvlText w:val="%1:"/>
      <w:numFmt w:val="upperLetter"/>
      <w:start w:val="17"/>
    </w:lvl>
  </w:abstractNum>
  <w:abstractNum w:abstractNumId="10">
    <w:nsid w:val="5F5E7FD0"/>
    <w:multiLevelType w:val="hybridMultilevel"/>
    <w:lvl w:ilvl="0">
      <w:lvlJc w:val="left"/>
      <w:lvlText w:val="%1:"/>
      <w:numFmt w:val="upperLetter"/>
      <w:start w:val="1"/>
    </w:lvl>
    <w:lvl w:ilvl="1">
      <w:lvlJc w:val="left"/>
      <w:lvlText w:val="•"/>
      <w:numFmt w:val="bullet"/>
      <w:start w:val="1"/>
    </w:lvl>
  </w:abstractNum>
  <w:abstractNum w:abstractNumId="11">
    <w:nsid w:val="98A3148"/>
    <w:multiLevelType w:val="hybridMultilevel"/>
    <w:lvl w:ilvl="0">
      <w:lvlJc w:val="left"/>
      <w:lvlText w:val="%1:"/>
      <w:numFmt w:val="upperLetter"/>
      <w:start w:val="17"/>
    </w:lvl>
  </w:abstractNum>
  <w:abstractNum w:abstractNumId="12">
    <w:nsid w:val="799D0247"/>
    <w:multiLevelType w:val="hybridMultilevel"/>
    <w:lvl w:ilvl="0">
      <w:lvlJc w:val="left"/>
      <w:lvlText w:val="%1:"/>
      <w:numFmt w:val="upperLetter"/>
      <w:start w:val="1"/>
    </w:lvl>
  </w:abstractNum>
  <w:abstractNum w:abstractNumId="13">
    <w:nsid w:val="6B94764"/>
    <w:multiLevelType w:val="hybridMultilevel"/>
    <w:lvl w:ilvl="0">
      <w:lvlJc w:val="left"/>
      <w:lvlText w:val="%1:"/>
      <w:numFmt w:val="upperLetter"/>
      <w:start w:val="17"/>
    </w:lvl>
  </w:abstractNum>
  <w:abstractNum w:abstractNumId="14">
    <w:nsid w:val="42C296BD"/>
    <w:multiLevelType w:val="hybridMultilevel"/>
    <w:lvl w:ilvl="0">
      <w:lvlJc w:val="left"/>
      <w:lvlText w:val="%1:"/>
      <w:numFmt w:val="upperLetter"/>
      <w:start w:val="1"/>
    </w:lvl>
  </w:abstractNum>
  <w:abstractNum w:abstractNumId="15">
    <w:nsid w:val="168E121F"/>
    <w:multiLevelType w:val="hybridMultilevel"/>
    <w:lvl w:ilvl="0">
      <w:lvlJc w:val="left"/>
      <w:lvlText w:val="%1:"/>
      <w:numFmt w:val="upperLetter"/>
      <w:start w:val="17"/>
    </w:lvl>
  </w:abstractNum>
  <w:abstractNum w:abstractNumId="16">
    <w:nsid w:val="1EBA5D23"/>
    <w:multiLevelType w:val="hybridMultilevel"/>
    <w:lvl w:ilvl="0">
      <w:lvlJc w:val="left"/>
      <w:lvlText w:val="%1:"/>
      <w:numFmt w:val="upperLetter"/>
      <w:start w:val="1"/>
    </w:lvl>
  </w:abstractNum>
  <w:abstractNum w:abstractNumId="17">
    <w:nsid w:val="661E3F1E"/>
    <w:multiLevelType w:val="hybridMultilevel"/>
    <w:lvl w:ilvl="0">
      <w:lvlJc w:val="left"/>
      <w:lvlText w:val="%1:"/>
      <w:numFmt w:val="upperLetter"/>
      <w:start w:val="17"/>
    </w:lvl>
  </w:abstractNum>
  <w:abstractNum w:abstractNumId="18">
    <w:nsid w:val="5DC79EA8"/>
    <w:multiLevelType w:val="hybridMultilevel"/>
    <w:lvl w:ilvl="0">
      <w:lvlJc w:val="left"/>
      <w:lvlText w:val="%1:"/>
      <w:numFmt w:val="upperLetter"/>
      <w:start w:val="1"/>
    </w:lvl>
  </w:abstractNum>
  <w:abstractNum w:abstractNumId="19">
    <w:nsid w:val="540A471C"/>
    <w:multiLevelType w:val="hybridMultilevel"/>
    <w:lvl w:ilvl="0">
      <w:lvlJc w:val="left"/>
      <w:lvlText w:val="%1:"/>
      <w:numFmt w:val="upperLetter"/>
      <w:start w:val="17"/>
    </w:lvl>
  </w:abstractNum>
  <w:abstractNum w:abstractNumId="20">
    <w:nsid w:val="7BD3EE7B"/>
    <w:multiLevelType w:val="hybridMultilevel"/>
    <w:lvl w:ilvl="0">
      <w:lvlJc w:val="left"/>
      <w:lvlText w:val="%1:"/>
      <w:numFmt w:val="upperLetter"/>
      <w:start w:val="1"/>
    </w:lvl>
  </w:abstractNum>
  <w:abstractNum w:abstractNumId="21">
    <w:nsid w:val="51D9C564"/>
    <w:multiLevelType w:val="hybridMultilevel"/>
    <w:lvl w:ilvl="0">
      <w:lvlJc w:val="left"/>
      <w:lvlText w:val="%1:"/>
      <w:numFmt w:val="upperLetter"/>
      <w:start w:val="17"/>
    </w:lvl>
  </w:abstractNum>
  <w:abstractNum w:abstractNumId="22">
    <w:nsid w:val="613EFDC5"/>
    <w:multiLevelType w:val="hybridMultilevel"/>
    <w:lvl w:ilvl="0">
      <w:lvlJc w:val="left"/>
      <w:lvlText w:val="%1:"/>
      <w:numFmt w:val="upperLetter"/>
      <w:start w:val="1"/>
    </w:lvl>
  </w:abstractNum>
  <w:abstractNum w:abstractNumId="23">
    <w:nsid w:val="BF72B14"/>
    <w:multiLevelType w:val="hybridMultilevel"/>
    <w:lvl w:ilvl="0">
      <w:lvlJc w:val="left"/>
      <w:lvlText w:val="%1:"/>
      <w:numFmt w:val="upperLetter"/>
      <w:start w:val="17"/>
    </w:lvl>
  </w:abstractNum>
  <w:abstractNum w:abstractNumId="24">
    <w:nsid w:val="11447B73"/>
    <w:multiLevelType w:val="hybridMultilevel"/>
    <w:lvl w:ilvl="0">
      <w:lvlJc w:val="left"/>
      <w:lvlText w:val="%1:"/>
      <w:numFmt w:val="upperLetter"/>
      <w:start w:val="1"/>
    </w:lvl>
  </w:abstractNum>
  <w:abstractNum w:abstractNumId="25">
    <w:nsid w:val="42963E5A"/>
    <w:multiLevelType w:val="hybridMultilevel"/>
    <w:lvl w:ilvl="0">
      <w:lvlJc w:val="left"/>
      <w:lvlText w:val="%1:"/>
      <w:numFmt w:val="upperLetter"/>
      <w:start w:val="17"/>
    </w:lvl>
  </w:abstractNum>
  <w:abstractNum w:abstractNumId="26">
    <w:nsid w:val="A0382C5"/>
    <w:multiLevelType w:val="hybridMultilevel"/>
    <w:lvl w:ilvl="0">
      <w:lvlJc w:val="left"/>
      <w:lvlText w:val="%1:"/>
      <w:numFmt w:val="upperLetter"/>
      <w:start w:val="1"/>
    </w:lvl>
  </w:abstractNum>
  <w:abstractNum w:abstractNumId="27">
    <w:nsid w:val="8F2B15E"/>
    <w:multiLevelType w:val="hybridMultilevel"/>
    <w:lvl w:ilvl="0">
      <w:lvlJc w:val="left"/>
      <w:lvlText w:val="%1:"/>
      <w:numFmt w:val="upperLetter"/>
      <w:start w:val="17"/>
    </w:lvl>
  </w:abstractNum>
  <w:abstractNum w:abstractNumId="28">
    <w:nsid w:val="1A32234B"/>
    <w:multiLevelType w:val="hybridMultilevel"/>
    <w:lvl w:ilvl="0">
      <w:lvlJc w:val="left"/>
      <w:lvlText w:val="%1:"/>
      <w:numFmt w:val="upperLetter"/>
      <w:start w:val="1"/>
    </w:lvl>
    <w:lvl w:ilvl="1">
      <w:lvlJc w:val="left"/>
      <w:lvlText w:val="•"/>
      <w:numFmt w:val="bullet"/>
      <w:start w:val="1"/>
    </w:lvl>
  </w:abstractNum>
  <w:abstractNum w:abstractNumId="29">
    <w:nsid w:val="3B0FD379"/>
    <w:multiLevelType w:val="hybridMultilevel"/>
    <w:lvl w:ilvl="0">
      <w:lvlJc w:val="left"/>
      <w:lvlText w:val="%1:"/>
      <w:numFmt w:val="upperLetter"/>
      <w:start w:val="17"/>
    </w:lvl>
  </w:abstractNum>
  <w:abstractNum w:abstractNumId="30">
    <w:nsid w:val="68EB2F63"/>
    <w:multiLevelType w:val="hybridMultilevel"/>
    <w:lvl w:ilvl="0">
      <w:lvlJc w:val="left"/>
      <w:lvlText w:val="%1:"/>
      <w:numFmt w:val="upperLetter"/>
      <w:start w:val="1"/>
    </w:lvl>
  </w:abstractNum>
  <w:abstractNum w:abstractNumId="31">
    <w:nsid w:val="4962813B"/>
    <w:multiLevelType w:val="hybridMultilevel"/>
    <w:lvl w:ilvl="0">
      <w:lvlJc w:val="left"/>
      <w:lvlText w:val="%1:"/>
      <w:numFmt w:val="upperLetter"/>
      <w:start w:val="17"/>
    </w:lvl>
  </w:abstractNum>
  <w:abstractNum w:abstractNumId="32">
    <w:nsid w:val="60B6DF70"/>
    <w:multiLevelType w:val="hybridMultilevel"/>
    <w:lvl w:ilvl="0">
      <w:lvlJc w:val="left"/>
      <w:lvlText w:val="%1:"/>
      <w:numFmt w:val="upperLetter"/>
      <w:start w:val="1"/>
    </w:lvl>
  </w:abstractNum>
  <w:abstractNum w:abstractNumId="33">
    <w:nsid w:val="6A5EE64"/>
    <w:multiLevelType w:val="hybridMultilevel"/>
    <w:lvl w:ilvl="0">
      <w:lvlJc w:val="left"/>
      <w:lvlText w:val="%1:"/>
      <w:numFmt w:val="upperLetter"/>
      <w:start w:val="17"/>
    </w:lvl>
  </w:abstractNum>
  <w:abstractNum w:abstractNumId="34">
    <w:nsid w:val="14330624"/>
    <w:multiLevelType w:val="hybridMultilevel"/>
    <w:lvl w:ilvl="0">
      <w:lvlJc w:val="left"/>
      <w:lvlText w:val="%1:"/>
      <w:numFmt w:val="upperLetter"/>
      <w:start w:val="1"/>
    </w:lvl>
  </w:abstractNum>
  <w:abstractNum w:abstractNumId="35">
    <w:nsid w:val="7FFFCA11"/>
    <w:multiLevelType w:val="hybridMultilevel"/>
    <w:lvl w:ilvl="0">
      <w:lvlJc w:val="left"/>
      <w:lvlText w:val="%1:"/>
      <w:numFmt w:val="upperLetter"/>
      <w:start w:val="17"/>
    </w:lvl>
  </w:abstractNum>
  <w:abstractNum w:abstractNumId="36">
    <w:nsid w:val="1A27709E"/>
    <w:multiLevelType w:val="hybridMultilevel"/>
    <w:lvl w:ilvl="0">
      <w:lvlJc w:val="left"/>
      <w:lvlText w:val="%1:"/>
      <w:numFmt w:val="upperLetter"/>
      <w:start w:val="1"/>
    </w:lvl>
  </w:abstractNum>
  <w:abstractNum w:abstractNumId="37">
    <w:nsid w:val="71EA1109"/>
    <w:multiLevelType w:val="hybridMultilevel"/>
    <w:lvl w:ilvl="0">
      <w:lvlJc w:val="left"/>
      <w:lvlText w:val="%1:"/>
      <w:numFmt w:val="upperLetter"/>
      <w:start w:val="17"/>
    </w:lvl>
  </w:abstractNum>
  <w:abstractNum w:abstractNumId="38">
    <w:nsid w:val="100F59DC"/>
    <w:multiLevelType w:val="hybridMultilevel"/>
    <w:lvl w:ilvl="0">
      <w:lvlJc w:val="left"/>
      <w:lvlText w:val="%1:"/>
      <w:numFmt w:val="upperLetter"/>
      <w:start w:val="1"/>
    </w:lvl>
  </w:abstractNum>
  <w:abstractNum w:abstractNumId="39">
    <w:nsid w:val="7FB7E0AA"/>
    <w:multiLevelType w:val="hybridMultilevel"/>
    <w:lvl w:ilvl="0">
      <w:lvlJc w:val="left"/>
      <w:lvlText w:val="%1:"/>
      <w:numFmt w:val="upperLetter"/>
      <w:start w:val="17"/>
    </w:lvl>
  </w:abstractNum>
  <w:abstractNum w:abstractNumId="40">
    <w:nsid w:val="6EB5BD4"/>
    <w:multiLevelType w:val="hybridMultilevel"/>
    <w:lvl w:ilvl="0">
      <w:lvlJc w:val="left"/>
      <w:lvlText w:val="%1:"/>
      <w:numFmt w:val="upperLetter"/>
      <w:start w:val="1"/>
    </w:lvl>
  </w:abstractNum>
  <w:abstractNum w:abstractNumId="41">
    <w:nsid w:val="6F6DD9AC"/>
    <w:multiLevelType w:val="hybridMultilevel"/>
    <w:lvl w:ilvl="0">
      <w:lvlJc w:val="left"/>
      <w:lvlText w:val="%1:"/>
      <w:numFmt w:val="upperLetter"/>
      <w:start w:val="17"/>
    </w:lvl>
  </w:abstractNum>
  <w:abstractNum w:abstractNumId="42">
    <w:nsid w:val="94211F2"/>
    <w:multiLevelType w:val="hybridMultilevel"/>
    <w:lvl w:ilvl="0">
      <w:lvlJc w:val="left"/>
      <w:lvlText w:val="%1:"/>
      <w:numFmt w:val="upperLetter"/>
      <w:start w:val="1"/>
    </w:lvl>
  </w:abstractNum>
  <w:abstractNum w:abstractNumId="43">
    <w:nsid w:val="885E1B"/>
    <w:multiLevelType w:val="hybridMultilevel"/>
    <w:lvl w:ilvl="0">
      <w:lvlJc w:val="left"/>
      <w:lvlText w:val="M"/>
      <w:numFmt w:val="bullet"/>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1)"/>
      <w:numFmt w:val="decimal"/>
      <w:start w:val="1"/>
    </w:lvl>
    <w:lvl w:ilvl="1">
      <w:lvlJc w:val="left"/>
      <w:lvlText w:val="%2."/>
      <w:numFmt w:val="decimal"/>
      <w:start w:val="718"/>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
      <w:numFmt w:val="bullet"/>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2"/>
    </w:lvl>
  </w:abstractNum>
  <w:abstractNum w:abstractNumId="66">
    <w:nsid w:val="5FB8011C"/>
    <w:multiLevelType w:val="hybridMultilevel"/>
    <w:lvl w:ilvl="0">
      <w:lvlJc w:val="left"/>
      <w:lvlText w:val="(%1)"/>
      <w:numFmt w:val="decimal"/>
      <w:start w:val="3"/>
    </w:lvl>
  </w:abstractNum>
  <w:abstractNum w:abstractNumId="67">
    <w:nsid w:val="6AA78F7F"/>
    <w:multiLevelType w:val="hybridMultilevel"/>
    <w:lvl w:ilvl="0">
      <w:lvlJc w:val="left"/>
      <w:lvlText w:val="(%1)"/>
      <w:numFmt w:val="decimal"/>
      <w:start w:val="1"/>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
      <w:numFmt w:val="bullet"/>
      <w:start w:val="1"/>
    </w:lvl>
    <w:lvl w:ilvl="1">
      <w:lvlJc w:val="left"/>
      <w:lvlText w:val="(%2)"/>
      <w:numFmt w:val="lowerLetter"/>
      <w:start w:val="2"/>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
      <w:numFmt w:val="bullet"/>
      <w:start w:val="1"/>
    </w:lvl>
  </w:abstractNum>
  <w:abstractNum w:abstractNumId="75">
    <w:nsid w:val="555C55B5"/>
    <w:multiLevelType w:val="hybridMultilevel"/>
    <w:lvl w:ilvl="0">
      <w:lvlJc w:val="left"/>
      <w:lvlText w:val="(%1)"/>
      <w:numFmt w:val="decimal"/>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
      <w:numFmt w:val="bullet"/>
      <w:start w:val="1"/>
    </w:lvl>
  </w:abstractNum>
  <w:abstractNum w:abstractNumId="78">
    <w:nsid w:val="6A3DD3E8"/>
    <w:multiLevelType w:val="hybridMultilevel"/>
    <w:lvl w:ilvl="0">
      <w:lvlJc w:val="left"/>
      <w:lvlText w:val="(%1)"/>
      <w:numFmt w:val="upperLetter"/>
      <w:start w:val="2"/>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1)"/>
      <w:numFmt w:val="decimal"/>
      <w:start w:val="1"/>
    </w:lvl>
  </w:abstractNum>
  <w:abstractNum w:abstractNumId="84">
    <w:nsid w:val="1D545C4D"/>
    <w:multiLevelType w:val="hybridMultilevel"/>
    <w:lvl w:ilvl="0">
      <w:lvlJc w:val="left"/>
      <w:lvlText w:val="(%1)"/>
      <w:numFmt w:val="lowerRoman"/>
      <w:start w:val="2"/>
    </w:lvl>
  </w:abstractNum>
  <w:abstractNum w:abstractNumId="85">
    <w:nsid w:val="59ADEA3D"/>
    <w:multiLevelType w:val="hybridMultilevel"/>
    <w:lvl w:ilvl="0">
      <w:lvlJc w:val="left"/>
      <w:lvlText w:val="•"/>
      <w:numFmt w:val="bullet"/>
      <w:start w:val="1"/>
    </w:lvl>
  </w:abstractNum>
  <w:abstractNum w:abstractNumId="86">
    <w:nsid w:val="288F1A34"/>
    <w:multiLevelType w:val="hybridMultilevel"/>
    <w:lvl w:ilvl="0">
      <w:lvlJc w:val="left"/>
      <w:lvlText w:val="•"/>
      <w:numFmt w:val="bullet"/>
      <w:start w:val="1"/>
    </w:lvl>
  </w:abstractNum>
  <w:abstractNum w:abstractNumId="87">
    <w:nsid w:val="2A155DBC"/>
    <w:multiLevelType w:val="hybridMultilevel"/>
    <w:lvl w:ilvl="0">
      <w:lvlJc w:val="left"/>
      <w:lvlText w:val="(%1)"/>
      <w:numFmt w:val="decimal"/>
      <w:start w:val="1"/>
    </w:lvl>
  </w:abstractNum>
  <w:abstractNum w:abstractNumId="88">
    <w:nsid w:val="1D9F6E5F"/>
    <w:multiLevelType w:val="hybridMultilevel"/>
    <w:lvl w:ilvl="0">
      <w:lvlJc w:val="left"/>
      <w:lvlText w:val="•"/>
      <w:numFmt w:val="bullet"/>
      <w:start w:val="1"/>
    </w:lvl>
  </w:abstractNum>
  <w:abstractNum w:abstractNumId="89">
    <w:nsid w:val="97E1B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90">
    <w:nsid w:val="5108827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91">
    <w:nsid w:val="1CA0C5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92">
    <w:nsid w:val="53584BCB"/>
    <w:multiLevelType w:val="hybridMultilevel"/>
    <w:lvl w:ilvl="0">
      <w:lvlJc w:val="left"/>
      <w:lvlText w:val="%1."/>
      <w:numFmt w:val="lowerLetter"/>
      <w:start w:val="8"/>
    </w:lvl>
    <w:lvl w:ilvl="1">
      <w:lvlJc w:val="left"/>
      <w:lvlText w:val="%2."/>
      <w:numFmt w:val="lowerRoman"/>
      <w:start w:val="1"/>
    </w:lvl>
  </w:abstractNum>
  <w:abstractNum w:abstractNumId="93">
    <w:nsid w:val="415E286C"/>
    <w:multiLevelType w:val="hybridMultilevel"/>
    <w:lvl w:ilvl="0">
      <w:lvlJc w:val="left"/>
      <w:lvlText w:val="%1."/>
      <w:numFmt w:val="lowerLetter"/>
      <w:start w:val="19"/>
    </w:lvl>
  </w:abstractNum>
  <w:abstractNum w:abstractNumId="94">
    <w:nsid w:val="7C58FD05"/>
    <w:multiLevelType w:val="hybridMultilevel"/>
    <w:lvl w:ilvl="0">
      <w:lvlJc w:val="left"/>
      <w:lvlText w:val="%1."/>
      <w:numFmt w:val="lowerLetter"/>
      <w:start w:val="27"/>
    </w:lvl>
  </w:abstractNum>
  <w:abstractNum w:abstractNumId="95">
    <w:nsid w:val="23D86AAC"/>
    <w:multiLevelType w:val="hybridMultilevel"/>
    <w:lvl w:ilvl="0">
      <w:lvlJc w:val="left"/>
      <w:lvlText w:val="%1."/>
      <w:numFmt w:val="decimal"/>
      <w:start w:val="2"/>
    </w:lvl>
  </w:abstractNum>
  <w:abstractNum w:abstractNumId="96">
    <w:nsid w:val="45E6D486"/>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97">
    <w:nsid w:val="5C10FE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98">
    <w:nsid w:val="E7FFA2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9">
    <w:nsid w:val="3C5991A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00">
    <w:nsid w:val="4BD859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1">
    <w:nsid w:val="78DF6A55"/>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4">
    <w:nsid w:val="6C80EC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05">
    <w:nsid w:val="379E21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06">
    <w:nsid w:val="69E37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07">
    <w:nsid w:val="2C27173B"/>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decimal"/>
      <w:start w:val="8"/>
    </w:lvl>
  </w:abstractNum>
  <w:abstractNum w:abstractNumId="110">
    <w:nsid w:val="1DF029D3"/>
    <w:multiLevelType w:val="hybridMultilevel"/>
    <w:lvl w:ilvl="0">
      <w:lvlJc w:val="left"/>
      <w:lvlText w:val="(%1)"/>
      <w:numFmt w:val="lowerLetter"/>
      <w:start w:val="2"/>
    </w:lvl>
  </w:abstractNum>
  <w:abstractNum w:abstractNumId="111">
    <w:nsid w:val="5675FF36"/>
    <w:multiLevelType w:val="hybridMultilevel"/>
    <w:lvl w:ilvl="0">
      <w:lvlJc w:val="left"/>
      <w:lvlText w:val="%1."/>
      <w:numFmt w:val="decimal"/>
      <w:start w:val="9"/>
    </w:lvl>
    <w:lvl w:ilvl="1">
      <w:lvlJc w:val="left"/>
      <w:lvlText w:val="%2."/>
      <w:numFmt w:val="decimal"/>
      <w:start w:val="1"/>
    </w:lvl>
  </w:abstractNum>
  <w:abstractNum w:abstractNumId="112">
    <w:nsid w:val="3DD15094"/>
    <w:multiLevelType w:val="hybridMultilevel"/>
    <w:lvl w:ilvl="0">
      <w:lvlJc w:val="left"/>
      <w:lvlText w:val="%1"/>
      <w:numFmt w:val="decimal"/>
      <w:start w:val="1"/>
    </w:lvl>
    <w:lvl w:ilvl="1">
      <w:lvlJc w:val="left"/>
      <w:lvlText w:val="%2."/>
      <w:numFmt w:val="decimal"/>
      <w:start w:val="3"/>
    </w:lvl>
  </w:abstractNum>
  <w:abstractNum w:abstractNumId="113">
    <w:nsid w:val="3DB012B3"/>
    <w:multiLevelType w:val="hybridMultilevel"/>
    <w:lvl w:ilvl="0">
      <w:lvlJc w:val="left"/>
      <w:lvlText w:val="%1."/>
      <w:numFmt w:val="decimal"/>
      <w:start w:val="10"/>
    </w:lvl>
    <w:lvl w:ilvl="1">
      <w:lvlJc w:val="left"/>
      <w:lvlText w:val="%2"/>
      <w:numFmt w:val="decimal"/>
      <w:start w:val="1"/>
    </w:lvl>
  </w:abstractNum>
  <w:abstractNum w:abstractNumId="114">
    <w:nsid w:val="2708C9AF"/>
    <w:multiLevelType w:val="hybridMultilevel"/>
    <w:lvl w:ilvl="0">
      <w:lvlJc w:val="left"/>
      <w:lvlText w:val="%1."/>
      <w:numFmt w:val="decimal"/>
      <w:start w:val="1"/>
    </w:lvl>
    <w:lvl w:ilvl="1">
      <w:lvlJc w:val="left"/>
      <w:lvlText w:val="%2"/>
      <w:numFmt w:val="lowerLetter"/>
      <w:start w:val="1"/>
    </w:lvl>
  </w:abstractNum>
  <w:abstractNum w:abstractNumId="115">
    <w:nsid w:val="5B25ACE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6">
    <w:nsid w:val="175DFCF0"/>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17">
    <w:nsid w:val="4F97E3E4"/>
    <w:multiLevelType w:val="hybridMultilevel"/>
    <w:lvl w:ilvl="0">
      <w:lvlJc w:val="left"/>
      <w:lvlText w:val="%1."/>
      <w:numFmt w:val="lowerLetter"/>
      <w:start w:val="13"/>
    </w:lvl>
  </w:abstractNum>
  <w:abstractNum w:abstractNumId="118">
    <w:nsid w:val="53B0A9E"/>
    <w:multiLevelType w:val="hybridMultilevel"/>
    <w:lvl w:ilvl="0">
      <w:lvlJc w:val="left"/>
      <w:lvlText w:val="%1"/>
      <w:numFmt w:val="decimal"/>
      <w:start w:val="1"/>
    </w:lvl>
    <w:lvl w:ilvl="1">
      <w:lvlJc w:val="left"/>
      <w:lvlText w:val="%2."/>
      <w:numFmt w:val="decimal"/>
      <w:start w:val="3"/>
    </w:lvl>
  </w:abstractNum>
  <w:abstractNum w:abstractNumId="119">
    <w:nsid w:val="34FD6B4F"/>
    <w:multiLevelType w:val="hybridMultilevel"/>
    <w:lvl w:ilvl="0">
      <w:lvlJc w:val="left"/>
      <w:lvlText w:val="%1."/>
      <w:numFmt w:val="decimal"/>
      <w:start w:val="13"/>
    </w:lvl>
    <w:lvl w:ilvl="1">
      <w:lvlJc w:val="left"/>
      <w:lvlText w:val="%2."/>
      <w:numFmt w:val="decimal"/>
      <w:start w:val="1"/>
    </w:lvl>
  </w:abstractNum>
  <w:abstractNum w:abstractNumId="120">
    <w:nsid w:val="5915FF32"/>
    <w:multiLevelType w:val="hybridMultilevel"/>
    <w:lvl w:ilvl="0">
      <w:lvlJc w:val="left"/>
      <w:lvlText w:val="%1."/>
      <w:numFmt w:val="decimal"/>
      <w:start w:val="15"/>
    </w:lvl>
  </w:abstractNum>
  <w:abstractNum w:abstractNumId="121">
    <w:nsid w:val="56438D15"/>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22">
    <w:nsid w:val="519E3149"/>
    <w:multiLevelType w:val="hybridMultilevel"/>
    <w:lvl w:ilvl="0">
      <w:lvlJc w:val="left"/>
      <w:lvlText w:val="%1."/>
      <w:numFmt w:val="decimal"/>
      <w:start w:val="18"/>
    </w:lvl>
  </w:abstractNum>
  <w:abstractNum w:abstractNumId="123">
    <w:nsid w:val="2C6E4AFD"/>
    <w:multiLevelType w:val="hybridMultilevel"/>
    <w:lvl w:ilvl="0">
      <w:lvlJc w:val="left"/>
      <w:lvlText w:val="%1."/>
      <w:numFmt w:val="decimal"/>
      <w:start w:val="19"/>
    </w:lvl>
  </w:abstractNum>
  <w:abstractNum w:abstractNumId="124">
    <w:nsid w:val="17A1B582"/>
    <w:multiLevelType w:val="hybridMultilevel"/>
    <w:lvl w:ilvl="0">
      <w:lvlJc w:val="left"/>
      <w:lvlText w:val="%1."/>
      <w:numFmt w:val="decimal"/>
      <w:start w:val="20"/>
    </w:lvl>
  </w:abstractNum>
  <w:abstractNum w:abstractNumId="125">
    <w:nsid w:val="4DF72E4E"/>
    <w:multiLevelType w:val="hybridMultilevel"/>
    <w:lvl w:ilvl="0">
      <w:lvlJc w:val="left"/>
      <w:lvlText w:val="%1."/>
      <w:numFmt w:val="decimal"/>
      <w:start w:val="21"/>
    </w:lvl>
  </w:abstractNum>
  <w:abstractNum w:abstractNumId="126">
    <w:nsid w:val="5046B5A9"/>
    <w:multiLevelType w:val="hybridMultilevel"/>
    <w:lvl w:ilvl="0">
      <w:lvlJc w:val="left"/>
      <w:lvlText w:val="%1."/>
      <w:numFmt w:val="decimal"/>
      <w:start w:val="22"/>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2021-03-05T16:36:47Z</dcterms:created>
  <dcterms:modified xsi:type="dcterms:W3CDTF">2021-03-05T16:36:47Z</dcterms:modified>
</cp:coreProperties>
</file>