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6"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2"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314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1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WESTWOOD HOLDINGS GROUP, INC.</w:t>
      </w:r>
    </w:p>
    <w:p>
      <w:pPr>
        <w:spacing w:after="0" w:line="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27"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10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75-2969997</w:t>
            </w:r>
          </w:p>
        </w:tc>
      </w:tr>
      <w:tr>
        <w:trPr>
          <w:trHeight w:val="188"/>
        </w:trPr>
        <w:tc>
          <w:tcPr>
            <w:tcW w:w="35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47"/>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200 CRESCENT COURT, SUITE 1200</w:t>
            </w:r>
          </w:p>
        </w:tc>
        <w:tc>
          <w:tcPr>
            <w:tcW w:w="6100" w:type="dxa"/>
            <w:vAlign w:val="bottom"/>
          </w:tcPr>
          <w:p>
            <w:pPr>
              <w:spacing w:after="0"/>
              <w:rPr>
                <w:sz w:val="24"/>
                <w:szCs w:val="24"/>
                <w:color w:val="auto"/>
              </w:rPr>
            </w:pPr>
          </w:p>
        </w:tc>
      </w:tr>
      <w:tr>
        <w:trPr>
          <w:trHeight w:val="229"/>
        </w:trPr>
        <w:tc>
          <w:tcPr>
            <w:tcW w:w="35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6100" w:type="dxa"/>
            <w:vAlign w:val="bottom"/>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88"/>
        </w:trPr>
        <w:tc>
          <w:tcPr>
            <w:tcW w:w="3560" w:type="dxa"/>
            <w:vAlign w:val="bottom"/>
          </w:tcPr>
          <w:p>
            <w:pPr>
              <w:jc w:val="center"/>
              <w:ind w:right="17"/>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6100" w:type="dxa"/>
            <w:vAlign w:val="bottom"/>
          </w:tcPr>
          <w:p>
            <w:pPr>
              <w:jc w:val="center"/>
              <w:ind w:left="4019"/>
              <w:spacing w:after="0"/>
              <w:rPr>
                <w:sz w:val="20"/>
                <w:szCs w:val="20"/>
                <w:color w:val="auto"/>
              </w:rPr>
            </w:pPr>
            <w:r>
              <w:rPr>
                <w:rFonts w:ascii="Times New Roman" w:cs="Times New Roman" w:eastAsia="Times New Roman" w:hAnsi="Times New Roman"/>
                <w:sz w:val="14"/>
                <w:szCs w:val="14"/>
                <w:color w:val="auto"/>
              </w:rPr>
              <w:t>(Zip Code)</w:t>
            </w:r>
          </w:p>
        </w:tc>
      </w:tr>
      <w:tr>
        <w:trPr>
          <w:trHeight w:val="365"/>
        </w:trPr>
        <w:tc>
          <w:tcPr>
            <w:tcW w:w="3560" w:type="dxa"/>
            <w:vAlign w:val="bottom"/>
          </w:tcPr>
          <w:p>
            <w:pPr>
              <w:spacing w:after="0"/>
              <w:rPr>
                <w:sz w:val="24"/>
                <w:szCs w:val="24"/>
                <w:color w:val="auto"/>
              </w:rPr>
            </w:pPr>
          </w:p>
        </w:tc>
        <w:tc>
          <w:tcPr>
            <w:tcW w:w="6100" w:type="dxa"/>
            <w:vAlign w:val="bottom"/>
          </w:tcPr>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(214) 756-6900</w:t>
            </w:r>
          </w:p>
        </w:tc>
      </w:tr>
      <w:tr>
        <w:trPr>
          <w:trHeight w:val="188"/>
        </w:trPr>
        <w:tc>
          <w:tcPr>
            <w:tcW w:w="3560" w:type="dxa"/>
            <w:vAlign w:val="bottom"/>
          </w:tcPr>
          <w:p>
            <w:pPr>
              <w:spacing w:after="0"/>
              <w:rPr>
                <w:sz w:val="16"/>
                <w:szCs w:val="16"/>
                <w:color w:val="auto"/>
              </w:rPr>
            </w:pPr>
          </w:p>
        </w:tc>
        <w:tc>
          <w:tcPr>
            <w:tcW w:w="6100" w:type="dxa"/>
            <w:vAlign w:val="bottom"/>
          </w:tcPr>
          <w:p>
            <w:pPr>
              <w:jc w:val="center"/>
              <w:ind w:right="27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1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57" w:lineRule="exact"/>
        <w:rPr>
          <w:sz w:val="24"/>
          <w:szCs w:val="24"/>
          <w:color w:val="auto"/>
        </w:rPr>
      </w:pPr>
    </w:p>
    <w:tbl>
      <w:tblPr>
        <w:tblLayout w:type="fixed"/>
        <w:tblInd w:w="86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5"/>
        </w:trPr>
        <w:tc>
          <w:tcPr>
            <w:tcW w:w="66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27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520" w:type="dxa"/>
            <w:vAlign w:val="bottom"/>
          </w:tcPr>
          <w:p>
            <w:pPr>
              <w:spacing w:after="0"/>
              <w:rPr>
                <w:sz w:val="18"/>
                <w:szCs w:val="18"/>
                <w:color w:val="auto"/>
              </w:rPr>
            </w:pPr>
          </w:p>
        </w:tc>
        <w:tc>
          <w:tcPr>
            <w:tcW w:w="24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WHG</w:t>
            </w:r>
          </w:p>
        </w:tc>
        <w:tc>
          <w:tcPr>
            <w:tcW w:w="2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49" w:lineRule="exact"/>
        <w:rPr>
          <w:sz w:val="24"/>
          <w:szCs w:val="24"/>
          <w:color w:val="auto"/>
        </w:rPr>
      </w:pP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8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96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0" w:lineRule="exact"/>
        <w:rPr>
          <w:sz w:val="24"/>
          <w:szCs w:val="24"/>
          <w:color w:val="auto"/>
        </w:rPr>
      </w:pPr>
    </w:p>
    <w:p>
      <w:pPr>
        <w:ind w:right="42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ind w:right="362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Shares of common stock, par value $0.01 per share, outstanding as of October 24, 2024: 9,271,573.</w:t>
      </w:r>
    </w:p>
    <w:p>
      <w:pPr>
        <w:spacing w:after="0" w:line="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8"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PART I</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2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PAGE</w:t>
            </w:r>
          </w:p>
        </w:tc>
      </w:tr>
      <w:tr>
        <w:trPr>
          <w:trHeight w:val="324"/>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2460" w:type="dxa"/>
            <w:vAlign w:val="bottom"/>
          </w:tcPr>
          <w:p>
            <w:pPr>
              <w:spacing w:after="0"/>
              <w:rPr>
                <w:sz w:val="24"/>
                <w:szCs w:val="24"/>
                <w:color w:val="auto"/>
              </w:rPr>
            </w:pPr>
          </w:p>
        </w:tc>
      </w:tr>
      <w:tr>
        <w:trPr>
          <w:trHeight w:val="289"/>
        </w:trPr>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5000" w:type="dxa"/>
            <w:vAlign w:val="bottom"/>
            <w:gridSpan w:val="8"/>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1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w:t>
            </w:r>
          </w:p>
        </w:tc>
        <w:tc>
          <w:tcPr>
            <w:tcW w:w="3520" w:type="dxa"/>
            <w:vAlign w:val="bottom"/>
            <w:gridSpan w:val="2"/>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600" w:type="dxa"/>
            <w:vAlign w:val="bottom"/>
            <w:tcBorders>
              <w:top w:val="single" w:sz="8" w:color="0000FF"/>
            </w:tcBorders>
            <w:gridSpan w:val="4"/>
          </w:tcPr>
          <w:p>
            <w:pPr>
              <w:spacing w:after="0"/>
              <w:rPr>
                <w:sz w:val="21"/>
                <w:szCs w:val="21"/>
                <w:color w:val="auto"/>
              </w:rPr>
            </w:pPr>
          </w:p>
        </w:tc>
        <w:tc>
          <w:tcPr>
            <w:tcW w:w="3700" w:type="dxa"/>
            <w:vAlign w:val="bottom"/>
            <w:gridSpan w:val="3"/>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50"/>
        </w:trPr>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18</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3.</w:t>
            </w:r>
          </w:p>
        </w:tc>
        <w:tc>
          <w:tcPr>
            <w:tcW w:w="39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80" w:type="dxa"/>
            <w:vAlign w:val="bottom"/>
            <w:tcBorders>
              <w:top w:val="single" w:sz="8" w:color="0000FF"/>
            </w:tcBorders>
            <w:gridSpan w:val="3"/>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4.</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PART II</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480" w:type="dxa"/>
            <w:vAlign w:val="bottom"/>
            <w:tcBorders>
              <w:top w:val="single" w:sz="8" w:color="0000FF"/>
            </w:tcBorders>
            <w:gridSpan w:val="2"/>
          </w:tcPr>
          <w:p>
            <w:pPr>
              <w:spacing w:after="0"/>
              <w:rPr>
                <w:sz w:val="21"/>
                <w:szCs w:val="21"/>
                <w:color w:val="auto"/>
              </w:rPr>
            </w:pPr>
          </w:p>
        </w:tc>
        <w:tc>
          <w:tcPr>
            <w:tcW w:w="5960" w:type="dxa"/>
            <w:vAlign w:val="bottom"/>
            <w:gridSpan w:val="9"/>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1A.</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0"/>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Item 6.</w:t>
            </w:r>
          </w:p>
        </w:tc>
        <w:tc>
          <w:tcPr>
            <w:tcW w:w="39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Exhibits</w:t>
            </w:r>
          </w:p>
        </w:tc>
        <w:tc>
          <w:tcPr>
            <w:tcW w:w="3740" w:type="dxa"/>
            <w:vAlign w:val="bottom"/>
            <w:gridSpan w:val="5"/>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50"/>
        </w:trPr>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943"/>
        </w:trPr>
        <w:tc>
          <w:tcPr>
            <w:tcW w:w="6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240" w:type="dxa"/>
            <w:vAlign w:val="bottom"/>
          </w:tcPr>
          <w:p>
            <w:pPr>
              <w:spacing w:after="0"/>
              <w:rPr>
                <w:sz w:val="17"/>
                <w:szCs w:val="17"/>
                <w:color w:val="auto"/>
              </w:rPr>
            </w:pPr>
          </w:p>
        </w:tc>
        <w:tc>
          <w:tcPr>
            <w:tcW w:w="1740" w:type="dxa"/>
            <w:vAlign w:val="bottom"/>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87"/>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20,422</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Accounts receivable</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14,394</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Investments, at fair value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32,674</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Prepaid income taxes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4,543</w:t>
            </w:r>
          </w:p>
        </w:tc>
        <w:tc>
          <w:tcPr>
            <w:tcW w:w="0" w:type="dxa"/>
            <w:vAlign w:val="bottom"/>
          </w:tcPr>
          <w:p>
            <w:pPr>
              <w:spacing w:after="0"/>
              <w:rPr>
                <w:sz w:val="1"/>
                <w:szCs w:val="1"/>
                <w:color w:val="auto"/>
              </w:rPr>
            </w:pPr>
          </w:p>
        </w:tc>
      </w:tr>
      <w:tr>
        <w:trPr>
          <w:trHeight w:val="194"/>
        </w:trPr>
        <w:tc>
          <w:tcPr>
            <w:tcW w:w="6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72,238</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7,247</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4,284</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investments at fair value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39,501</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3,673</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24,803</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and equipment, net of accumulated depreciation of $8,326 and $10,078</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assets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0" w:type="dxa"/>
            <w:vAlign w:val="bottom"/>
          </w:tcPr>
          <w:p>
            <w:pPr>
              <w:spacing w:after="0"/>
              <w:rPr>
                <w:sz w:val="1"/>
                <w:szCs w:val="1"/>
                <w:color w:val="auto"/>
              </w:rPr>
            </w:pPr>
          </w:p>
        </w:tc>
      </w:tr>
      <w:tr>
        <w:trPr>
          <w:trHeight w:val="194"/>
        </w:trPr>
        <w:tc>
          <w:tcPr>
            <w:tcW w:w="6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Total long-term assets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82,879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82,929</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151,501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155,167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4,934</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6,130</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Dividends payable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1,692</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9,539</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w:t>
            </w:r>
          </w:p>
        </w:tc>
        <w:tc>
          <w:tcPr>
            <w:tcW w:w="0" w:type="dxa"/>
            <w:vAlign w:val="bottom"/>
          </w:tcPr>
          <w:p>
            <w:pPr>
              <w:spacing w:after="0"/>
              <w:rPr>
                <w:sz w:val="1"/>
                <w:szCs w:val="1"/>
                <w:color w:val="auto"/>
              </w:rPr>
            </w:pPr>
          </w:p>
        </w:tc>
      </w:tr>
      <w:tr>
        <w:trPr>
          <w:trHeight w:val="194"/>
        </w:trPr>
        <w:tc>
          <w:tcPr>
            <w:tcW w:w="6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18,647</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dividends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0" w:type="dxa"/>
            <w:vAlign w:val="bottom"/>
          </w:tcPr>
          <w:p>
            <w:pPr>
              <w:spacing w:after="0"/>
              <w:rPr>
                <w:sz w:val="1"/>
                <w:szCs w:val="1"/>
                <w:color w:val="auto"/>
              </w:rPr>
            </w:pPr>
          </w:p>
        </w:tc>
      </w:tr>
      <w:tr>
        <w:trPr>
          <w:trHeight w:val="20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10,133</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operating lease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3,266</w:t>
            </w:r>
          </w:p>
        </w:tc>
        <w:tc>
          <w:tcPr>
            <w:tcW w:w="0" w:type="dxa"/>
            <w:vAlign w:val="bottom"/>
          </w:tcPr>
          <w:p>
            <w:pPr>
              <w:spacing w:after="0"/>
              <w:rPr>
                <w:sz w:val="1"/>
                <w:szCs w:val="1"/>
                <w:color w:val="auto"/>
              </w:rPr>
            </w:pPr>
          </w:p>
        </w:tc>
      </w:tr>
      <w:tr>
        <w:trPr>
          <w:trHeight w:val="194"/>
        </w:trPr>
        <w:tc>
          <w:tcPr>
            <w:tcW w:w="6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14,946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14,074</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31,117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32,721</w:t>
            </w:r>
          </w:p>
        </w:tc>
        <w:tc>
          <w:tcPr>
            <w:tcW w:w="0" w:type="dxa"/>
            <w:vAlign w:val="bottom"/>
          </w:tcPr>
          <w:p>
            <w:pPr>
              <w:spacing w:after="0"/>
              <w:rPr>
                <w:sz w:val="1"/>
                <w:szCs w:val="1"/>
                <w:color w:val="auto"/>
              </w:rPr>
            </w:pPr>
          </w:p>
        </w:tc>
      </w:tr>
      <w:tr>
        <w:trPr>
          <w:trHeight w:val="180"/>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11)</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940" w:type="dxa"/>
            <w:vAlign w:val="bottom"/>
          </w:tcPr>
          <w:p>
            <w:pPr>
              <w:ind w:left="480"/>
              <w:spacing w:after="0" w:line="149" w:lineRule="exact"/>
              <w:rPr>
                <w:sz w:val="20"/>
                <w:szCs w:val="20"/>
                <w:color w:val="auto"/>
              </w:rPr>
            </w:pPr>
            <w:r>
              <w:rPr>
                <w:rFonts w:ascii="Times New Roman" w:cs="Times New Roman" w:eastAsia="Times New Roman" w:hAnsi="Times New Roman"/>
                <w:sz w:val="15"/>
                <w:szCs w:val="15"/>
                <w:color w:val="auto"/>
              </w:rPr>
              <w:t>Common stock, $0.01 par value, authorized 25,000,000 shares, issued 12,174,073 and 11,856,737,</w:t>
            </w: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respectively and outstanding 9,271,568 and 9,140,760, respectively</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202,247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201,622</w:t>
            </w:r>
          </w:p>
        </w:tc>
        <w:tc>
          <w:tcPr>
            <w:tcW w:w="0" w:type="dxa"/>
            <w:vAlign w:val="bottom"/>
          </w:tcPr>
          <w:p>
            <w:pPr>
              <w:spacing w:after="0"/>
              <w:rPr>
                <w:sz w:val="1"/>
                <w:szCs w:val="1"/>
                <w:color w:val="auto"/>
              </w:rPr>
            </w:pPr>
          </w:p>
        </w:tc>
      </w:tr>
      <w:tr>
        <w:trPr>
          <w:trHeight w:val="200"/>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Treasury stock, at cost – 2,902,505 and 2,715,977, respectively</w:t>
            </w: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(85,990)</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Retained earnings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4,650</w:t>
            </w:r>
          </w:p>
        </w:tc>
        <w:tc>
          <w:tcPr>
            <w:tcW w:w="0" w:type="dxa"/>
            <w:vAlign w:val="bottom"/>
          </w:tcPr>
          <w:p>
            <w:pPr>
              <w:spacing w:after="0"/>
              <w:rPr>
                <w:sz w:val="1"/>
                <w:szCs w:val="1"/>
                <w:color w:val="auto"/>
              </w:rPr>
            </w:pPr>
          </w:p>
        </w:tc>
      </w:tr>
      <w:tr>
        <w:trPr>
          <w:trHeight w:val="194"/>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Westwood Holdings Group, Inc. stockholders’ equity</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118,385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120,401</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Noncontrolling interest in consolidated subsidiary</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2,045</w:t>
            </w:r>
          </w:p>
        </w:tc>
        <w:tc>
          <w:tcPr>
            <w:tcW w:w="0" w:type="dxa"/>
            <w:vAlign w:val="bottom"/>
          </w:tcPr>
          <w:p>
            <w:pPr>
              <w:spacing w:after="0"/>
              <w:rPr>
                <w:sz w:val="1"/>
                <w:szCs w:val="1"/>
                <w:color w:val="auto"/>
              </w:rPr>
            </w:pPr>
          </w:p>
        </w:tc>
      </w:tr>
      <w:tr>
        <w:trPr>
          <w:trHeight w:val="202"/>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120,384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122,446</w:t>
            </w:r>
          </w:p>
        </w:tc>
        <w:tc>
          <w:tcPr>
            <w:tcW w:w="0" w:type="dxa"/>
            <w:vAlign w:val="bottom"/>
          </w:tcPr>
          <w:p>
            <w:pPr>
              <w:spacing w:after="0"/>
              <w:rPr>
                <w:sz w:val="1"/>
                <w:szCs w:val="1"/>
                <w:color w:val="auto"/>
              </w:rPr>
            </w:pPr>
          </w:p>
        </w:tc>
      </w:tr>
      <w:tr>
        <w:trPr>
          <w:trHeight w:val="219"/>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151,501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155,167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08" w:right="459" w:bottom="1440" w:gutter="0" w:footer="0" w:header="0"/>
        </w:sectPr>
      </w:pPr>
    </w:p>
    <w:bookmarkStart w:id="3" w:name="page4"/>
    <w:bookmarkEnd w:id="3"/>
    <w:p>
      <w:pPr>
        <w:jc w:val="center"/>
        <w:ind w:left="340" w:right="2300"/>
        <w:spacing w:after="0" w:line="265"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Advisory fees: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Asset-based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50,734</w:t>
            </w:r>
          </w:p>
        </w:tc>
        <w:tc>
          <w:tcPr>
            <w:tcW w:w="0" w:type="dxa"/>
            <w:vAlign w:val="bottom"/>
          </w:tcPr>
          <w:p>
            <w:pPr>
              <w:spacing w:after="0"/>
              <w:rPr>
                <w:sz w:val="1"/>
                <w:szCs w:val="1"/>
                <w:color w:val="auto"/>
              </w:rPr>
            </w:pPr>
          </w:p>
        </w:tc>
      </w:tr>
      <w:tr>
        <w:trPr>
          <w:trHeight w:val="213"/>
        </w:trPr>
        <w:tc>
          <w:tcPr>
            <w:tcW w:w="61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Performance-based</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Trust fees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15,118</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66,552</w:t>
            </w:r>
          </w:p>
        </w:tc>
        <w:tc>
          <w:tcPr>
            <w:tcW w:w="0" w:type="dxa"/>
            <w:vAlign w:val="bottom"/>
          </w:tcPr>
          <w:p>
            <w:pPr>
              <w:spacing w:after="0"/>
              <w:rPr>
                <w:sz w:val="1"/>
                <w:szCs w:val="1"/>
                <w:color w:val="auto"/>
              </w:rPr>
            </w:pPr>
          </w:p>
        </w:tc>
      </w:tr>
      <w:tr>
        <w:trPr>
          <w:trHeight w:val="194"/>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40,551</w:t>
            </w:r>
          </w:p>
        </w:tc>
        <w:tc>
          <w:tcPr>
            <w:tcW w:w="0" w:type="dxa"/>
            <w:vAlign w:val="bottom"/>
          </w:tcPr>
          <w:p>
            <w:pPr>
              <w:spacing w:after="0"/>
              <w:rPr>
                <w:sz w:val="1"/>
                <w:szCs w:val="1"/>
                <w:color w:val="auto"/>
              </w:rPr>
            </w:pPr>
          </w:p>
        </w:tc>
      </w:tr>
      <w:tr>
        <w:trPr>
          <w:trHeight w:val="213"/>
        </w:trPr>
        <w:tc>
          <w:tcPr>
            <w:tcW w:w="6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Westwood mutual funds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13"/>
        </w:trPr>
        <w:tc>
          <w:tcPr>
            <w:tcW w:w="6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Information technology</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Professional services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0" w:type="dxa"/>
            <w:vAlign w:val="bottom"/>
          </w:tcPr>
          <w:p>
            <w:pPr>
              <w:spacing w:after="0"/>
              <w:rPr>
                <w:sz w:val="1"/>
                <w:szCs w:val="1"/>
                <w:color w:val="auto"/>
              </w:rPr>
            </w:pPr>
          </w:p>
        </w:tc>
      </w:tr>
      <w:tr>
        <w:trPr>
          <w:trHeight w:val="213"/>
        </w:trPr>
        <w:tc>
          <w:tcPr>
            <w:tcW w:w="6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9,579</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from change in fair value of contingent consideration</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0" w:type="dxa"/>
            <w:vAlign w:val="bottom"/>
          </w:tcPr>
          <w:p>
            <w:pPr>
              <w:spacing w:after="0"/>
              <w:rPr>
                <w:sz w:val="1"/>
                <w:szCs w:val="1"/>
                <w:color w:val="auto"/>
              </w:rPr>
            </w:pPr>
          </w:p>
        </w:tc>
      </w:tr>
      <w:tr>
        <w:trPr>
          <w:trHeight w:val="213"/>
        </w:trPr>
        <w:tc>
          <w:tcPr>
            <w:tcW w:w="6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expenses</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2"/>
        </w:trPr>
        <w:tc>
          <w:tcPr>
            <w:tcW w:w="616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63,390</w:t>
            </w:r>
          </w:p>
        </w:tc>
        <w:tc>
          <w:tcPr>
            <w:tcW w:w="0" w:type="dxa"/>
            <w:vAlign w:val="bottom"/>
          </w:tcPr>
          <w:p>
            <w:pPr>
              <w:spacing w:after="0"/>
              <w:rPr>
                <w:sz w:val="1"/>
                <w:szCs w:val="1"/>
                <w:color w:val="auto"/>
              </w:rPr>
            </w:pPr>
          </w:p>
        </w:tc>
      </w:tr>
      <w:tr>
        <w:trPr>
          <w:trHeight w:val="207"/>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 (loss)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change in unrealized appreciation (depreciation) on private investments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6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investment income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w:t>
            </w:r>
          </w:p>
        </w:tc>
        <w:tc>
          <w:tcPr>
            <w:tcW w:w="0" w:type="dxa"/>
            <w:vAlign w:val="bottom"/>
          </w:tcPr>
          <w:p>
            <w:pPr>
              <w:spacing w:after="0"/>
              <w:rPr>
                <w:sz w:val="1"/>
                <w:szCs w:val="1"/>
                <w:color w:val="auto"/>
              </w:rPr>
            </w:pPr>
          </w:p>
        </w:tc>
      </w:tr>
      <w:tr>
        <w:trPr>
          <w:trHeight w:val="207"/>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provision</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0" w:type="dxa"/>
            <w:vAlign w:val="bottom"/>
          </w:tcPr>
          <w:p>
            <w:pPr>
              <w:spacing w:after="0"/>
              <w:rPr>
                <w:sz w:val="1"/>
                <w:szCs w:val="1"/>
                <w:color w:val="auto"/>
              </w:rPr>
            </w:pPr>
          </w:p>
        </w:tc>
      </w:tr>
      <w:tr>
        <w:trPr>
          <w:trHeight w:val="183"/>
        </w:trPr>
        <w:tc>
          <w:tcPr>
            <w:tcW w:w="61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7,988</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0" w:type="dxa"/>
            <w:vAlign w:val="bottom"/>
          </w:tcPr>
          <w:p>
            <w:pPr>
              <w:spacing w:after="0"/>
              <w:rPr>
                <w:sz w:val="1"/>
                <w:szCs w:val="1"/>
                <w:color w:val="auto"/>
              </w:rPr>
            </w:pPr>
          </w:p>
        </w:tc>
      </w:tr>
      <w:tr>
        <w:trPr>
          <w:trHeight w:val="234"/>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Westwood Holdings Group,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213"/>
        </w:trPr>
        <w:tc>
          <w:tcPr>
            <w:tcW w:w="6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8,123,714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8,002,537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7,949,773</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8,488,372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8,116,747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8,072,739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5"/>
                <w:szCs w:val="15"/>
                <w:color w:val="auto"/>
              </w:rPr>
            </w:pPr>
          </w:p>
        </w:tc>
        <w:tc>
          <w:tcPr>
            <w:tcW w:w="21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15"/>
                <w:szCs w:val="15"/>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60" w:type="dxa"/>
            <w:vAlign w:val="bottom"/>
          </w:tcPr>
          <w:p>
            <w:pPr>
              <w:spacing w:after="0"/>
              <w:rPr>
                <w:sz w:val="15"/>
                <w:szCs w:val="15"/>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21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1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220" w:type="dxa"/>
            <w:vAlign w:val="bottom"/>
          </w:tcPr>
          <w:p>
            <w:pPr>
              <w:spacing w:after="0"/>
              <w:rPr>
                <w:sz w:val="17"/>
                <w:szCs w:val="17"/>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9,293,447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120,466</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($0.15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7"/>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9,271,568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202,247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(88,278)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120,384</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82"/>
        </w:trPr>
        <w:tc>
          <w:tcPr>
            <w:tcW w:w="2880" w:type="dxa"/>
            <w:vAlign w:val="bottom"/>
          </w:tcPr>
          <w:p>
            <w:pPr>
              <w:spacing w:after="0"/>
              <w:rPr>
                <w:sz w:val="24"/>
                <w:szCs w:val="24"/>
                <w:color w:val="auto"/>
              </w:rPr>
            </w:pPr>
          </w:p>
        </w:tc>
        <w:tc>
          <w:tcPr>
            <w:tcW w:w="21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880" w:type="dxa"/>
            <w:vAlign w:val="bottom"/>
          </w:tcPr>
          <w:p>
            <w:pPr>
              <w:spacing w:after="0"/>
              <w:rPr>
                <w:sz w:val="9"/>
                <w:szCs w:val="9"/>
                <w:color w:val="auto"/>
              </w:rPr>
            </w:pPr>
          </w:p>
        </w:tc>
        <w:tc>
          <w:tcPr>
            <w:tcW w:w="21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9"/>
                <w:szCs w:val="9"/>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80" w:type="dxa"/>
            <w:vAlign w:val="bottom"/>
          </w:tcPr>
          <w:p>
            <w:pPr>
              <w:spacing w:after="0"/>
              <w:rPr>
                <w:sz w:val="9"/>
                <w:szCs w:val="9"/>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9"/>
                <w:szCs w:val="9"/>
                <w:color w:val="auto"/>
              </w:rPr>
            </w:pPr>
          </w:p>
        </w:tc>
        <w:tc>
          <w:tcPr>
            <w:tcW w:w="13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Noncontrolling</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22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9,182,770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115,099</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($0.15 per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returned for payment of</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9,180,195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119,803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6"/>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15"/>
                <w:szCs w:val="15"/>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40" w:type="dxa"/>
            <w:vAlign w:val="bottom"/>
          </w:tcPr>
          <w:p>
            <w:pPr>
              <w:spacing w:after="0"/>
              <w:rPr>
                <w:sz w:val="15"/>
                <w:szCs w:val="15"/>
                <w:color w:val="auto"/>
              </w:rPr>
            </w:pPr>
          </w:p>
        </w:tc>
        <w:tc>
          <w:tcPr>
            <w:tcW w:w="12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7"/>
                <w:szCs w:val="17"/>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9,140,760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122,446</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317,336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forfeitures</w:t>
            </w: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 ($0.45 per share)</w:t>
            </w:r>
          </w:p>
        </w:tc>
        <w:tc>
          <w:tcPr>
            <w:tcW w:w="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(4,207)</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(108,225)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returned for payment of</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2024</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9,271,568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202,247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(88,278)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120,384</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6"/>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40" w:type="dxa"/>
            <w:vAlign w:val="bottom"/>
          </w:tcPr>
          <w:p>
            <w:pPr>
              <w:spacing w:after="0"/>
              <w:rPr>
                <w:sz w:val="24"/>
                <w:szCs w:val="2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24"/>
                <w:szCs w:val="24"/>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140" w:type="dxa"/>
            <w:vAlign w:val="bottom"/>
          </w:tcPr>
          <w:p>
            <w:pPr>
              <w:spacing w:after="0"/>
              <w:rPr>
                <w:sz w:val="24"/>
                <w:szCs w:val="24"/>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80" w:type="dxa"/>
            <w:vAlign w:val="bottom"/>
          </w:tcPr>
          <w:p>
            <w:pPr>
              <w:spacing w:after="0"/>
              <w:rPr>
                <w:sz w:val="17"/>
                <w:szCs w:val="17"/>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4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8,881,831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restricted stock, net of</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368,628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3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($0.45 per share)</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returned for payment of</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2023</w:t>
            </w:r>
          </w:p>
        </w:tc>
        <w:tc>
          <w:tcPr>
            <w:tcW w:w="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9,180,195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201,424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(85,990)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income</w:t>
            </w: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tcPr>
          <w:p>
            <w:pPr>
              <w:spacing w:after="0"/>
              <w:rPr>
                <w:sz w:val="17"/>
                <w:szCs w:val="17"/>
                <w:color w:val="auto"/>
              </w:rPr>
            </w:pP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7,988</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(used in) operating activities: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Depreciation</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3,106</w:t>
            </w:r>
          </w:p>
        </w:tc>
        <w:tc>
          <w:tcPr>
            <w:tcW w:w="0" w:type="dxa"/>
            <w:vAlign w:val="bottom"/>
          </w:tcPr>
          <w:p>
            <w:pPr>
              <w:spacing w:after="0"/>
              <w:rPr>
                <w:sz w:val="1"/>
                <w:szCs w:val="1"/>
                <w:color w:val="auto"/>
              </w:rPr>
            </w:pP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Net change in unrealized (appreciation) depreciation on investments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5,111</w:t>
            </w:r>
          </w:p>
        </w:tc>
        <w:tc>
          <w:tcPr>
            <w:tcW w:w="0" w:type="dxa"/>
            <w:vAlign w:val="bottom"/>
          </w:tcPr>
          <w:p>
            <w:pPr>
              <w:spacing w:after="0"/>
              <w:rPr>
                <w:sz w:val="1"/>
                <w:szCs w:val="1"/>
                <w:color w:val="auto"/>
              </w:rPr>
            </w:pP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Deferred income taxes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Non-cash lease expense</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w:t>
            </w:r>
          </w:p>
        </w:tc>
        <w:tc>
          <w:tcPr>
            <w:tcW w:w="0" w:type="dxa"/>
            <w:vAlign w:val="bottom"/>
          </w:tcPr>
          <w:p>
            <w:pPr>
              <w:spacing w:after="0"/>
              <w:rPr>
                <w:sz w:val="1"/>
                <w:szCs w:val="1"/>
                <w:color w:val="auto"/>
              </w:rPr>
            </w:pP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Loss on asset disposition</w:t>
            </w:r>
          </w:p>
        </w:tc>
        <w:tc>
          <w:tcPr>
            <w:tcW w:w="10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Gain on remeasurement of lease liabilities</w:t>
            </w:r>
          </w:p>
        </w:tc>
        <w:tc>
          <w:tcPr>
            <w:tcW w:w="10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Fair value change of contingent consideration</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(2,655)</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Gain on insurance settlement</w:t>
            </w:r>
          </w:p>
        </w:tc>
        <w:tc>
          <w:tcPr>
            <w:tcW w:w="10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Net (purchases) sales of trading securities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(15,626)</w:t>
            </w:r>
          </w:p>
        </w:tc>
        <w:tc>
          <w:tcPr>
            <w:tcW w:w="0" w:type="dxa"/>
            <w:vAlign w:val="bottom"/>
          </w:tcPr>
          <w:p>
            <w:pPr>
              <w:spacing w:after="0"/>
              <w:rPr>
                <w:sz w:val="1"/>
                <w:szCs w:val="1"/>
                <w:color w:val="auto"/>
              </w:rPr>
            </w:pP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receivable</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1,355</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Other current assets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w:t>
            </w:r>
          </w:p>
        </w:tc>
        <w:tc>
          <w:tcPr>
            <w:tcW w:w="0" w:type="dxa"/>
            <w:vAlign w:val="bottom"/>
          </w:tcPr>
          <w:p>
            <w:pPr>
              <w:spacing w:after="0"/>
              <w:rPr>
                <w:sz w:val="1"/>
                <w:szCs w:val="1"/>
                <w:color w:val="auto"/>
              </w:rPr>
            </w:pP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w:t>
            </w:r>
          </w:p>
        </w:tc>
        <w:tc>
          <w:tcPr>
            <w:tcW w:w="0" w:type="dxa"/>
            <w:vAlign w:val="bottom"/>
          </w:tcPr>
          <w:p>
            <w:pPr>
              <w:spacing w:after="0"/>
              <w:rPr>
                <w:sz w:val="1"/>
                <w:szCs w:val="1"/>
                <w:color w:val="auto"/>
              </w:rPr>
            </w:pPr>
          </w:p>
        </w:tc>
      </w:tr>
      <w:tr>
        <w:trPr>
          <w:trHeight w:val="200"/>
        </w:trPr>
        <w:tc>
          <w:tcPr>
            <w:tcW w:w="79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Income taxes payable</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Other liabilities</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(1,064)</w:t>
            </w:r>
          </w:p>
        </w:tc>
        <w:tc>
          <w:tcPr>
            <w:tcW w:w="0" w:type="dxa"/>
            <w:vAlign w:val="bottom"/>
          </w:tcPr>
          <w:p>
            <w:pPr>
              <w:spacing w:after="0"/>
              <w:rPr>
                <w:sz w:val="1"/>
                <w:szCs w:val="1"/>
                <w:color w:val="auto"/>
              </w:rPr>
            </w:pPr>
          </w:p>
        </w:tc>
      </w:tr>
      <w:tr>
        <w:trPr>
          <w:trHeight w:val="194"/>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12,214</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(5,684)</w:t>
            </w:r>
          </w:p>
        </w:tc>
        <w:tc>
          <w:tcPr>
            <w:tcW w:w="0" w:type="dxa"/>
            <w:vAlign w:val="bottom"/>
          </w:tcPr>
          <w:p>
            <w:pPr>
              <w:spacing w:after="0"/>
              <w:rPr>
                <w:sz w:val="1"/>
                <w:szCs w:val="1"/>
                <w:color w:val="auto"/>
              </w:rPr>
            </w:pPr>
          </w:p>
        </w:tc>
      </w:tr>
      <w:tr>
        <w:trPr>
          <w:trHeight w:val="18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Acquisition, net of cash acquired</w:t>
            </w:r>
          </w:p>
        </w:tc>
        <w:tc>
          <w:tcPr>
            <w:tcW w:w="10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Purchase of investments</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Insurance settlement proceeds</w:t>
            </w:r>
          </w:p>
        </w:tc>
        <w:tc>
          <w:tcPr>
            <w:tcW w:w="10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194"/>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10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(1,534)</w:t>
            </w:r>
          </w:p>
        </w:tc>
        <w:tc>
          <w:tcPr>
            <w:tcW w:w="10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4,140</w:t>
            </w:r>
          </w:p>
        </w:tc>
        <w:tc>
          <w:tcPr>
            <w:tcW w:w="0" w:type="dxa"/>
            <w:vAlign w:val="bottom"/>
          </w:tcPr>
          <w:p>
            <w:pPr>
              <w:spacing w:after="0"/>
              <w:rPr>
                <w:sz w:val="1"/>
                <w:szCs w:val="1"/>
                <w:color w:val="auto"/>
              </w:rPr>
            </w:pPr>
          </w:p>
        </w:tc>
      </w:tr>
      <w:tr>
        <w:trPr>
          <w:trHeight w:val="18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Purchases of treasury stock</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Restricted stock returned for payment of taxes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0" w:type="dxa"/>
            <w:vAlign w:val="bottom"/>
          </w:tcPr>
          <w:p>
            <w:pPr>
              <w:spacing w:after="0"/>
              <w:rPr>
                <w:sz w:val="1"/>
                <w:szCs w:val="1"/>
                <w:color w:val="auto"/>
              </w:rPr>
            </w:pPr>
          </w:p>
        </w:tc>
      </w:tr>
      <w:tr>
        <w:trPr>
          <w:trHeight w:val="200"/>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Payment of contingent consideration in acquisition</w:t>
            </w: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Cash dividends paid</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(4,209)</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(4,274)</w:t>
            </w:r>
          </w:p>
        </w:tc>
        <w:tc>
          <w:tcPr>
            <w:tcW w:w="0" w:type="dxa"/>
            <w:vAlign w:val="bottom"/>
          </w:tcPr>
          <w:p>
            <w:pPr>
              <w:spacing w:after="0"/>
              <w:rPr>
                <w:sz w:val="1"/>
                <w:szCs w:val="1"/>
                <w:color w:val="auto"/>
              </w:rPr>
            </w:pPr>
          </w:p>
        </w:tc>
      </w:tr>
      <w:tr>
        <w:trPr>
          <w:trHeight w:val="194"/>
        </w:trPr>
        <w:tc>
          <w:tcPr>
            <w:tcW w:w="7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(8,312)</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(5,137)</w:t>
            </w:r>
          </w:p>
        </w:tc>
        <w:tc>
          <w:tcPr>
            <w:tcW w:w="0" w:type="dxa"/>
            <w:vAlign w:val="bottom"/>
          </w:tcPr>
          <w:p>
            <w:pPr>
              <w:spacing w:after="0"/>
              <w:rPr>
                <w:sz w:val="1"/>
                <w:szCs w:val="1"/>
                <w:color w:val="auto"/>
              </w:rPr>
            </w:pPr>
          </w:p>
        </w:tc>
      </w:tr>
      <w:tr>
        <w:trPr>
          <w:trHeight w:val="19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10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2,368</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(6,681)</w:t>
            </w:r>
          </w:p>
        </w:tc>
        <w:tc>
          <w:tcPr>
            <w:tcW w:w="0" w:type="dxa"/>
            <w:vAlign w:val="bottom"/>
          </w:tcPr>
          <w:p>
            <w:pPr>
              <w:spacing w:after="0"/>
              <w:rPr>
                <w:sz w:val="1"/>
                <w:szCs w:val="1"/>
                <w:color w:val="auto"/>
              </w:rPr>
            </w:pPr>
          </w:p>
        </w:tc>
      </w:tr>
      <w:tr>
        <w:trPr>
          <w:trHeight w:val="19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20,422</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23,859</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color w:val="auto"/>
              </w:rPr>
              <w:t>Cash and cash equivalents, end of period</w:t>
            </w:r>
          </w:p>
        </w:tc>
        <w:tc>
          <w:tcPr>
            <w:tcW w:w="1020" w:type="dxa"/>
            <w:vAlign w:val="bottom"/>
            <w:tcBorders>
              <w:bottom w:val="single" w:sz="8" w:color="auto"/>
            </w:tcBorders>
            <w:shd w:val="clear" w:color="auto" w:fill="CCEEFF"/>
          </w:tcPr>
          <w:p>
            <w:pPr>
              <w:jc w:val="right"/>
              <w:ind w:right="845"/>
              <w:spacing w:after="0" w:line="17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22,790</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64"/>
              <w:spacing w:after="0" w:line="172"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17,178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94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Cash paid during the period for income taxes</w:t>
            </w: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0" w:type="dxa"/>
            <w:vAlign w:val="bottom"/>
          </w:tcPr>
          <w:p>
            <w:pPr>
              <w:spacing w:after="0"/>
              <w:rPr>
                <w:sz w:val="1"/>
                <w:szCs w:val="1"/>
                <w:color w:val="auto"/>
              </w:rPr>
            </w:pPr>
          </w:p>
        </w:tc>
      </w:tr>
      <w:tr>
        <w:trPr>
          <w:trHeight w:val="198"/>
        </w:trPr>
        <w:tc>
          <w:tcPr>
            <w:tcW w:w="79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Accrued dividends</w:t>
            </w: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2,336</w:t>
            </w:r>
          </w:p>
        </w:tc>
        <w:tc>
          <w:tcPr>
            <w:tcW w:w="100" w:type="dxa"/>
            <w:vAlign w:val="bottom"/>
          </w:tcPr>
          <w:p>
            <w:pPr>
              <w:spacing w:after="0"/>
              <w:rPr>
                <w:sz w:val="17"/>
                <w:szCs w:val="17"/>
                <w:color w:val="auto"/>
              </w:rPr>
            </w:pP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ind w:left="360" w:right="264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Westwood Advisors, L.L.C. and Salient Advisors, L.P. (referred to hereinafter together as “Westwood Management”), and Westwood Trust.</w:t>
      </w:r>
    </w:p>
    <w:p>
      <w:pPr>
        <w:spacing w:after="0" w:line="7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fluctuations in financial markets and in the composition of AUM impact our revenues and results of operations.</w:t>
      </w:r>
    </w:p>
    <w:p>
      <w:pPr>
        <w:spacing w:after="0" w:line="72"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Westwood Management is registered with the Securities and Exchange Commission ("SEC") as an investment adviser under the Investment Advisers Act of 1940. Westwood Trust is chartered and regulated by the Texas Department of Banking.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Broadmark Asset Management LLC</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acquired a 48% interest in Broadmark Asset Management LLC ("Broadmark") as a result of our 2022 acquisition of the asset management business of Salient Partners, L.P. (the "Salient Acquisition"). In January 2023 we acquired an additional 32% interest in Broadmark for $1.2 million (net of cash acquired), increasing our ownership of Broadmark to approximately 80%, which represents a controlling interest for financial statement consolidation purposes (the "Broadmark Acquisition"). Broadmark is a San Francisco-based registered investment adviser ("RIA") managing and/or sub-advising mutual funds, retail and institutional separately-managed accounts.</w:t>
      </w:r>
    </w:p>
    <w:p>
      <w:pPr>
        <w:spacing w:after="0" w:line="71" w:lineRule="exact"/>
        <w:rPr>
          <w:sz w:val="20"/>
          <w:szCs w:val="20"/>
          <w:color w:val="auto"/>
        </w:rPr>
      </w:pPr>
    </w:p>
    <w:p>
      <w:pPr>
        <w:ind w:left="40" w:right="6320" w:hanging="32"/>
        <w:spacing w:after="0" w:line="377"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to a fair statement of our interim financial position and results of operations and cash flows for the periods presented. The accompanying Condensed Consolidated Financial Statements are presented in accordance with GAAP and the rules and regulations of the SEC.</w:t>
      </w:r>
    </w:p>
    <w:p>
      <w:pPr>
        <w:spacing w:after="0" w:line="79"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2023.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Reporting</w:t>
      </w:r>
    </w:p>
    <w:p>
      <w:pPr>
        <w:spacing w:after="0" w:line="11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which requires an entity to disclose significant segment expenses and other segment items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provide in interim periods all disclosures about a reportable segment’s profit or loss and assets that are currently required annually. Additionally, it requires an entity to disclose the title and position of the Chief Operating Decision Maker. This ASU does not change how an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An entity should apply the amendments in this ASU retrospectively to all prior periods presented in the financial statements. We expect this ASU to impact our disclosures, with no impact to our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1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 on the income tax rate reconciliation and income taxes paid. ASU 2023-09 requires an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entities are required to disclose income taxes paid, net of refunds received disaggregated by federal, state/local, and foreign, and by jurisdiction if the amount is at least 5% of total income tax payments, net of refunds received. The new standard is effective for annual periods beginning after December 15, 2024.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impact our disclosures, with no impact to our results of operations, cash flows, or financial condition.</w:t>
      </w:r>
    </w:p>
    <w:p>
      <w:pPr>
        <w:spacing w:after="0" w:line="78" w:lineRule="exact"/>
        <w:rPr>
          <w:sz w:val="20"/>
          <w:szCs w:val="20"/>
          <w:color w:val="auto"/>
        </w:rPr>
      </w:pPr>
    </w:p>
    <w:p>
      <w:pPr>
        <w:ind w:right="870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Broadmark</w:t>
      </w: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Westwood completed the Broadmark Acquisition in January 2023, increasing our investment by approximately 32%, to 80%, giving Westwood a controlling interest and requiring an allocation of the Broadmark Acquisition purchase price. The total consideration recorded for accounting purposes consisted of $1.2 million in cash (net of cash acquired).</w:t>
      </w:r>
    </w:p>
    <w:p>
      <w:pPr>
        <w:spacing w:after="0" w:line="6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Prior to the Broadmark Acquisition, Westwood had a $2.4 million equity method investment in Broadmark, the fair value of which was estimated using recent market transactions. Westwood's equity method investment was derecognized without gain or loss following the Broadmark Acquisition, however there was a corresponding increase to goodwill.</w:t>
      </w:r>
    </w:p>
    <w:p>
      <w:pPr>
        <w:spacing w:after="0" w:line="6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Broadmark Acquisition was accounted for using the acquisition method of accounting. Accordingly, the purchase price was allocated to tangible assets acquired and liabilities assumed based on their estimated fair values as of the acquisition date. The total consideration of $1.6 million has been allocated based on valuations of acquired assets and assumed liabilities in connection with the acquisition.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allocation of the Broadmark Acquisition purchase price was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1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2"/>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consideration, net of cash acquired</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257"/>
        </w:trPr>
        <w:tc>
          <w:tcPr>
            <w:tcW w:w="9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Westwood's investment in Broadmark before the business combination</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noncontrolling interest in Broadmark</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r>
      <w:tr>
        <w:trPr>
          <w:trHeight w:val="259"/>
        </w:trPr>
        <w:tc>
          <w:tcPr>
            <w:tcW w:w="9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14"/>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8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0"/>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Identifiable Net Assets</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39"/>
        </w:trPr>
        <w:tc>
          <w:tcPr>
            <w:tcW w:w="9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r>
    </w:tbl>
    <w:p>
      <w:pPr>
        <w:spacing w:after="0" w:line="200" w:lineRule="exact"/>
        <w:rPr>
          <w:sz w:val="20"/>
          <w:szCs w:val="20"/>
          <w:color w:val="auto"/>
        </w:rPr>
      </w:pPr>
    </w:p>
    <w:p>
      <w:pPr>
        <w:spacing w:after="0" w:line="335"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Westwood recognized approximately $1.0 million of a noncontrolling interest in a consolidated subsidiary at the acquisition date. Fair value of this interest was estimated using recent market transactions.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time of the Broadmark Acquisition, the Company believed that its expanded operational opportunities, enhanced range of investment strategies and expected realization of synergies were the primary factors that contributed to a total purchase price that resulted in the recognition of goodwill. Goodwill arising from the Broadmark Acquisition is not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has included $0.8 million of revenue and $0.3 million of net income, and $2.6 million of revenue and $0.2 million of net loss, respectively, related to Broadmark in its Condensed Consolidated Statements of Comprehensive Income.</w:t>
      </w:r>
    </w:p>
    <w:p>
      <w:pPr>
        <w:spacing w:after="0" w:line="68"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 has included $1.1 million of revenue and $4.0 million of net income, and $3.4 million of revenue and $4.1 million of net income, respectively, related to Broadmark in its Condensed Consolidated Statements of Comprehensive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Financial Information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results of operations for the three and nine months ended September 30, 2023 assume the Broadmark Acquisition had occurred as of January 1, 2022. This unaudited pro forma information should not be relied upon as being necessarily indicative of historical results that would have been obtained had the Broadmark Acquisition actually occurred on that date, nor of results that may be obtained in the future.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6"/>
                <w:szCs w:val="16"/>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1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7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200" w:type="dxa"/>
            <w:vAlign w:val="bottom"/>
          </w:tcPr>
          <w:p>
            <w:pPr>
              <w:spacing w:after="0"/>
              <w:rPr>
                <w:sz w:val="18"/>
                <w:szCs w:val="18"/>
                <w:color w:val="auto"/>
              </w:rPr>
            </w:pPr>
          </w:p>
        </w:tc>
        <w:tc>
          <w:tcPr>
            <w:tcW w:w="18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211"/>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66,552</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Salient Acquisition Contingent Consideration</w:t>
      </w:r>
    </w:p>
    <w:p>
      <w:pPr>
        <w:spacing w:after="0" w:line="121"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As part of the Salient Acquisition, the Company agreed to pay additional consideration based on specified financial milestones being met in 2024 and 2025. In the nine months ended September 30 2024, the Company paid contingent consideration of $1.8 million for the Revenue Retention earn-out. Additional amounts earned, if any, will be paid in 2024 or 2025 and are recorded as a liability on the Condensed Consolidated Balance Sheets.</w:t>
      </w:r>
    </w:p>
    <w:p>
      <w:pPr>
        <w:spacing w:after="0" w:line="68" w:lineRule="exact"/>
        <w:rPr>
          <w:sz w:val="20"/>
          <w:szCs w:val="20"/>
          <w:color w:val="auto"/>
        </w:rPr>
      </w:pPr>
    </w:p>
    <w:p>
      <w:pPr>
        <w:ind w:right="1020" w:firstLine="486"/>
        <w:spacing w:after="0" w:line="282" w:lineRule="auto"/>
        <w:rPr>
          <w:sz w:val="20"/>
          <w:szCs w:val="20"/>
          <w:color w:val="auto"/>
        </w:rPr>
      </w:pPr>
      <w:r>
        <w:rPr>
          <w:rFonts w:ascii="Times New Roman" w:cs="Times New Roman" w:eastAsia="Times New Roman" w:hAnsi="Times New Roman"/>
          <w:sz w:val="18"/>
          <w:szCs w:val="18"/>
          <w:color w:val="auto"/>
        </w:rPr>
        <w:t>The contingent consideration liability is classified as Level 3 in the fair value hierarchy and revalued quarterly. See Note 7, "Fair Value Measurements," for additional information related to the fair value measurement of the contingent consideration.</w:t>
      </w:r>
    </w:p>
    <w:p>
      <w:pPr>
        <w:spacing w:after="0" w:line="50" w:lineRule="exact"/>
        <w:rPr>
          <w:sz w:val="20"/>
          <w:szCs w:val="20"/>
          <w:color w:val="auto"/>
        </w:rPr>
      </w:pPr>
    </w:p>
    <w:p>
      <w:pPr>
        <w:ind w:right="960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Revenue Recognition</w:t>
      </w: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The "Other, net” revenues on our Condensed Consolidated Statements of</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Comprehensive Income are the unrealized gains and losses on our seed money investments, and our seed money investments are included in "Investments, at fair value" on our Condensed Consolidated Balance Sheets. Advisory and trust fees are calculated based on a percentage of AUM or assets under advisement ("AUA"), as applicable, and the performance obligation is realized over the current calendar quarter. Once clients receive our investment advisory services, we have an enforceable right to payment.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Fee Revenues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81"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vehicles, including collective investment trusts; and (iv) managed account relationships with brokerage firms and other registered investment advisors that offer Westwood products to their customers.</w:t>
      </w:r>
    </w:p>
    <w:p>
      <w:pPr>
        <w:spacing w:after="0" w:line="54" w:lineRule="exact"/>
        <w:rPr>
          <w:sz w:val="20"/>
          <w:szCs w:val="20"/>
          <w:color w:val="auto"/>
        </w:rPr>
      </w:pPr>
    </w:p>
    <w:p>
      <w:pPr>
        <w:ind w:right="80" w:firstLine="486"/>
        <w:spacing w:after="0" w:line="312" w:lineRule="auto"/>
        <w:rPr>
          <w:sz w:val="20"/>
          <w:szCs w:val="20"/>
          <w:color w:val="auto"/>
        </w:rPr>
      </w:pPr>
      <w:r>
        <w:rPr>
          <w:rFonts w:ascii="Times New Roman" w:cs="Times New Roman" w:eastAsia="Times New Roman" w:hAnsi="Times New Roman"/>
          <w:sz w:val="17"/>
          <w:szCs w:val="17"/>
          <w:color w:val="auto"/>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Performance-Based Obligations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spacing w:after="0" w:line="7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Fee Revenues</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fee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account type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64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320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0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Fees: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108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28,365</w:t>
            </w:r>
          </w:p>
        </w:tc>
      </w:tr>
      <w:tr>
        <w:trPr>
          <w:trHeight w:val="229"/>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w:t>
            </w:r>
          </w:p>
        </w:tc>
      </w:tr>
      <w:tr>
        <w:trPr>
          <w:trHeight w:val="230"/>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10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Fees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66,552</w:t>
            </w:r>
          </w:p>
        </w:tc>
      </w:tr>
      <w:tr>
        <w:trPr>
          <w:trHeight w:val="20"/>
        </w:trPr>
        <w:tc>
          <w:tcPr>
            <w:tcW w:w="4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clients in various locations around the world. The following table presents our revenue disaggregated by our clients' geographical locations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23,473</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21,602</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68,376</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65,706</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REPORTING</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w:t>
      </w:r>
    </w:p>
    <w:p>
      <w:pPr>
        <w:spacing w:after="0" w:line="68"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our Chief Executive Officer, evaluates the performance of our segments based primarily on fee revenues.</w:t>
      </w:r>
    </w:p>
    <w:p>
      <w:pPr>
        <w:spacing w:after="0" w:line="5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Salient and Westwood Management, which provide investment advisory services to similar clients, are included in our Advisory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420" w:firstLine="486"/>
        <w:spacing w:after="0" w:line="275"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that it sponsors to institutions and high net worth individuals. Westwood Trust is included in our Trust segment.</w:t>
      </w:r>
    </w:p>
    <w:tbl>
      <w:tblPr>
        <w:tblLayout w:type="fixed"/>
        <w:tblInd w:w="0" w:type="dxa"/>
        <w:tblCellMar>
          <w:top w:w="0" w:type="dxa"/>
          <w:left w:w="0" w:type="dxa"/>
          <w:bottom w:w="0" w:type="dxa"/>
          <w:right w:w="0" w:type="dxa"/>
        </w:tblCellMar>
      </w:tblPr>
      <w:tr>
        <w:trPr>
          <w:trHeight w:val="16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14"/>
                <w:szCs w:val="14"/>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14"/>
                <w:szCs w:val="14"/>
                <w:color w:val="auto"/>
              </w:rPr>
            </w:pPr>
          </w:p>
        </w:tc>
        <w:tc>
          <w:tcPr>
            <w:tcW w:w="1140" w:type="dxa"/>
            <w:vAlign w:val="bottom"/>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23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151,501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equity-method investments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expenditures for long-lived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59"/>
        </w:trPr>
        <w:tc>
          <w:tcPr>
            <w:tcW w:w="5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21,965</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18,381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21,880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14,536</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150,751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goodwill</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equity-method investments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expenditures for long-lived assets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7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4"/>
                <w:szCs w:val="24"/>
                <w:color w:val="auto"/>
              </w:rPr>
            </w:pP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20" w:type="dxa"/>
            <w:vAlign w:val="bottom"/>
          </w:tcPr>
          <w:p>
            <w:pPr>
              <w:spacing w:after="0"/>
              <w:rPr>
                <w:sz w:val="24"/>
                <w:szCs w:val="24"/>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4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Westwood</w:t>
            </w:r>
          </w:p>
        </w:tc>
        <w:tc>
          <w:tcPr>
            <w:tcW w:w="16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60" w:type="dxa"/>
            <w:vAlign w:val="bottom"/>
          </w:tcPr>
          <w:p>
            <w:pPr>
              <w:spacing w:after="0"/>
              <w:rPr>
                <w:sz w:val="24"/>
                <w:szCs w:val="24"/>
                <w:color w:val="auto"/>
              </w:rPr>
            </w:pPr>
          </w:p>
        </w:tc>
        <w:tc>
          <w:tcPr>
            <w:tcW w:w="1140" w:type="dxa"/>
            <w:vAlign w:val="bottom"/>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5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121" w:lineRule="exact"/>
        <w:rPr>
          <w:sz w:val="20"/>
          <w:szCs w:val="20"/>
          <w:color w:val="auto"/>
        </w:rPr>
      </w:pPr>
    </w:p>
    <w:p>
      <w:pPr>
        <w:ind w:right="480" w:firstLine="486"/>
        <w:spacing w:after="0" w:line="297" w:lineRule="auto"/>
        <w:rPr>
          <w:sz w:val="20"/>
          <w:szCs w:val="20"/>
          <w:color w:val="auto"/>
        </w:rPr>
      </w:pPr>
      <w:r>
        <w:rPr>
          <w:rFonts w:ascii="Times New Roman" w:cs="Times New Roman" w:eastAsia="Times New Roman" w:hAnsi="Times New Roman"/>
          <w:sz w:val="18"/>
          <w:szCs w:val="18"/>
          <w:color w:val="auto"/>
        </w:rPr>
        <w:t>Since 2018, in addition to the Company's acquisitions of Salient and Broadmark, whose results are included in our Condensed Consolidated Statements of Comprehensive Income, the Company has made strategic investments to enhance the services we provide our customers. Each of these investments is discussed below.</w:t>
      </w:r>
    </w:p>
    <w:p>
      <w:pPr>
        <w:spacing w:after="0" w:line="4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made a strategic investment during 2018 in InvestCloud, which is included in “Investments” on our Condensed Consolidated Balance Sheets at its carrying value of $4.4 million. This investment represents an equity interest in a private company without a readily determinable fair value. The Company has elected to apply the measurement alternative of cost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minus impairment, if any, plus or minus changes resulting from observable price changes. Following InvestCloud's recapitalization in the first quarter of 2021, we re-invested $4.4 million of our proceeds into newly-issued shares of InvestCloud. No changes to the value of this investment were recorded during the three and nine months ended September 30, 2024 or 2023.</w:t>
      </w:r>
    </w:p>
    <w:p>
      <w:pPr>
        <w:spacing w:after="0" w:line="6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investment in Vista is included in “Investments” on our Condensed Consolidated Balance Sheets at its carrying value of $2.8 million. This investment represents an equity interest in a private company without a readily determinable fair value. The Company has elected to apply the measurement alternative of cost minus impairment, if any, plus or minus changes resulting from observable price changes. No changes to the value of this investment were recorded during the three and nine months ended September 30, 2024 or 2023.</w:t>
      </w:r>
    </w:p>
    <w:p>
      <w:pPr>
        <w:spacing w:after="0" w:line="72"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In 2024 we made a strategic investment in the Texas Stock Exchange, included in “Investments” on our Condensed Consolidated Balance Sheets at its carrying value of $1.5 million. This investment represents an equity interest in a private company without a readily determinable fair value. The Company has elected to apply the measurement alternative of cost minus impairment, if any, plus or minus changes resulting from observable price changes. No changes to the value of this investment were recorded during the three and nine months ended September 30, 2024.</w:t>
      </w:r>
    </w:p>
    <w:p>
      <w:pPr>
        <w:spacing w:after="0" w:line="72"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Private Investment Funds</w:t>
      </w:r>
      <w:r>
        <w:rPr>
          <w:rFonts w:ascii="Times New Roman" w:cs="Times New Roman" w:eastAsia="Times New Roman" w:hAnsi="Times New Roman"/>
          <w:sz w:val="18"/>
          <w:szCs w:val="18"/>
          <w:color w:val="auto"/>
        </w:rPr>
        <w:t>. In 2019, we made a $0.3 million investment in Westwood Hospitality and in 2023 and 2024, we made $1.0 million of investments in private energy funds. These investments are included in “Noncurrent investments at fair value” on our Condensed Consolidated Balance Sheets and are measured at fair value on a recurring basis using net asset value ("NAV") as a practical expedient.</w:t>
      </w:r>
    </w:p>
    <w:p>
      <w:pPr>
        <w:spacing w:after="0" w:line="6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u w:val="single" w:color="auto"/>
          <w:color w:val="auto"/>
        </w:rPr>
        <w:t>Zarvona Energy Fund GP, L.P. and Zarvona Energy Fund II-A, L.P.</w:t>
      </w:r>
      <w:r>
        <w:rPr>
          <w:rFonts w:ascii="Times New Roman" w:cs="Times New Roman" w:eastAsia="Times New Roman" w:hAnsi="Times New Roman"/>
          <w:sz w:val="18"/>
          <w:szCs w:val="18"/>
          <w:color w:val="auto"/>
        </w:rPr>
        <w:t xml:space="preserve"> These investments represent ownership interests in non-controlled partnerships. These investments are included in “Equity method investments” on our Condensed Consolidated Balance Sheets and are measured based on our share of the net earnings or losses of the investees.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carried at fair value are presented in the table below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6"/>
                <w:szCs w:val="16"/>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4"/>
                <w:szCs w:val="14"/>
                <w:color w:val="auto"/>
              </w:rPr>
            </w:pPr>
          </w:p>
        </w:tc>
        <w:tc>
          <w:tcPr>
            <w:tcW w:w="960" w:type="dxa"/>
            <w:vAlign w:val="bottom"/>
          </w:tcPr>
          <w:p>
            <w:pPr>
              <w:jc w:val="center"/>
              <w:ind w:right="71"/>
              <w:spacing w:after="0" w:line="162"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214"/>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Pr>
          <w:p>
            <w:pPr>
              <w:spacing w:after="0"/>
              <w:rPr>
                <w:sz w:val="18"/>
                <w:szCs w:val="18"/>
                <w:color w:val="auto"/>
              </w:rPr>
            </w:pPr>
          </w:p>
        </w:tc>
        <w:tc>
          <w:tcPr>
            <w:tcW w:w="9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25,522</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investment funds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bond funds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investments shown below are included in our Condensed Consolidated Balance Sheets as Equity method investments, as follows (in thousands):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left="2080" w:right="208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21590</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ind w:left="468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Carrying value</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21590</wp:posOffset>
            </wp:positionV>
            <wp:extent cx="2143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6"/>
          <w:szCs w:val="16"/>
          <w:b w:val="1"/>
          <w:bCs w:val="1"/>
          <w:color w:val="auto"/>
        </w:rPr>
        <w:t>Carrying value</w:t>
      </w:r>
      <w:r>
        <w:rPr>
          <w:sz w:val="20"/>
          <w:szCs w:val="20"/>
          <w:color w:val="auto"/>
        </w:rPr>
        <w:tab/>
      </w:r>
      <w:r>
        <w:rPr>
          <w:rFonts w:ascii="Times New Roman" w:cs="Times New Roman" w:eastAsia="Times New Roman" w:hAnsi="Times New Roman"/>
          <w:sz w:val="16"/>
          <w:szCs w:val="16"/>
          <w:b w:val="1"/>
          <w:bCs w:val="1"/>
          <w:color w:val="auto"/>
        </w:rPr>
        <w:t>Ownership</w:t>
      </w:r>
    </w:p>
    <w:p>
      <w:pPr>
        <w:spacing w:after="0" w:line="48" w:lineRule="exact"/>
        <w:rPr>
          <w:sz w:val="20"/>
          <w:szCs w:val="20"/>
          <w:color w:val="auto"/>
        </w:rPr>
      </w:pPr>
    </w:p>
    <w:p>
      <w:pPr>
        <w:sectPr>
          <w:pgSz w:w="11900" w:h="16838" w:orient="portrait"/>
          <w:cols w:equalWidth="0" w:num="2">
            <w:col w:w="7420" w:space="720"/>
            <w:col w:w="31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Zarvona Energy Fund GP, L.P.</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48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50.0 %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Zarvona Energy Fund II-A, L.P.</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Salient MLP Total Return Fund, L.P.</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8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Salient MLP Total Return TE Fund, L.P.</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76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54" w:lineRule="exact"/>
        <w:rPr>
          <w:sz w:val="20"/>
          <w:szCs w:val="20"/>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unobservable inputs where there is little or no market activity</w:t>
      </w:r>
    </w:p>
    <w:p>
      <w:pPr>
        <w:spacing w:after="0" w:line="117"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Our strategic investments in InvestCloud, Vista and the Texas Stock Exchange, discussed in Note 6 “Investments,” are excluded from the recurring fair value table shown below because we have elected to apply the measurement alternative for those investments.</w:t>
      </w:r>
    </w:p>
    <w:p>
      <w:pPr>
        <w:spacing w:after="0" w:line="5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values of our investments measured at fair value on a recurring basis within the fair value hierarchy as of the dates indicated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Measured at</w:t>
            </w:r>
          </w:p>
        </w:tc>
        <w:tc>
          <w:tcPr>
            <w:tcW w:w="2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87"/>
              </w:rPr>
              <w:t xml:space="preserve">NAV </w:t>
            </w:r>
            <w:r>
              <w:rPr>
                <w:rFonts w:ascii="Times New Roman" w:cs="Times New Roman" w:eastAsia="Times New Roman" w:hAnsi="Times New Roman"/>
                <w:sz w:val="21"/>
                <w:szCs w:val="21"/>
                <w:color w:val="auto"/>
                <w:w w:val="87"/>
                <w:vertAlign w:val="superscript"/>
              </w:rPr>
              <w:t>(1)</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25,522</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25,522</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investment funds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27,441</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Salient Acquisition 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investment fund</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Salient Acquisition contingent consideration</w:t>
            </w: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tcBorders>
              <w:top w:val="single" w:sz="8" w:color="CCEEFF"/>
              <w:bottom w:val="single" w:sz="8" w:color="CCEEFF"/>
            </w:tcBorders>
            <w:vMerge w:val="continue"/>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0" w:type="dxa"/>
            <w:vAlign w:val="bottom"/>
          </w:tcPr>
          <w:p>
            <w:pPr>
              <w:spacing w:after="0"/>
              <w:rPr>
                <w:sz w:val="1"/>
                <w:szCs w:val="1"/>
                <w:color w:val="auto"/>
              </w:rPr>
            </w:pPr>
          </w:p>
        </w:tc>
      </w:tr>
    </w:tbl>
    <w:p>
      <w:pPr>
        <w:ind w:left="20" w:right="280" w:firstLine="6"/>
        <w:spacing w:after="0" w:line="234" w:lineRule="auto"/>
        <w:tabs>
          <w:tab w:leader="none" w:pos="2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certain investments measured at fair value using NAV as a practical expedient. The fair value amounts presented in this table are intended to permit reconciliation of the fair value hierarchy to the amounts presented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-189865</wp:posOffset>
            </wp:positionV>
            <wp:extent cx="3900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Prior to our exchange of Charis shares for shares in Vista in 2023, our investment in Charis was included within Level 3 of the fair value hierarchy as we valued it utilizing inputs not observable in the market. Historically, our investment was measured at fair value on a recurring basis using a market approach based on either a price to tangible book value multiple range determined to be reasonable in the current environment, or on market transactions. On April 3, 2023, Charis was acquired by Vista in a transaction in which the Company exchanged its shares in Charis for shares in Vista.</w:t>
      </w:r>
    </w:p>
    <w:p>
      <w:pPr>
        <w:spacing w:after="0" w:line="207"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Level 3 investments measured at fair value on a recurring basis for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24"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6"/>
          <w:szCs w:val="16"/>
          <w:b w:val="1"/>
          <w:bCs w:val="1"/>
          <w:color w:val="auto"/>
        </w:rPr>
        <w:t>Fair Value using Significant Unobservable Inputs (Level</w:t>
      </w:r>
    </w:p>
    <w:p>
      <w:pPr>
        <w:jc w:val="center"/>
        <w:ind w:left="7120"/>
        <w:spacing w:after="0"/>
        <w:rPr>
          <w:sz w:val="20"/>
          <w:szCs w:val="20"/>
          <w:color w:val="auto"/>
        </w:rPr>
      </w:pPr>
      <w:r>
        <w:rPr>
          <w:rFonts w:ascii="Times New Roman" w:cs="Times New Roman" w:eastAsia="Times New Roman" w:hAnsi="Times New Roman"/>
          <w:sz w:val="16"/>
          <w:szCs w:val="16"/>
          <w:b w:val="1"/>
          <w:bCs w:val="1"/>
          <w:color w:val="auto"/>
        </w:rPr>
        <w:t>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76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right"/>
              <w:ind w:right="216"/>
              <w:spacing w:after="0" w:line="161"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71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2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760" w:type="dxa"/>
            <w:vAlign w:val="bottom"/>
            <w:shd w:val="clear" w:color="auto" w:fill="CCEEFF"/>
          </w:tcPr>
          <w:p>
            <w:pPr>
              <w:jc w:val="right"/>
              <w:ind w:right="155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2,792</w:t>
            </w:r>
          </w:p>
        </w:tc>
      </w:tr>
      <w:tr>
        <w:trPr>
          <w:trHeight w:val="226"/>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Exchange of shares</w:t>
            </w:r>
          </w:p>
        </w:tc>
        <w:tc>
          <w:tcPr>
            <w:tcW w:w="17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(2,792)</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760" w:type="dxa"/>
            <w:vAlign w:val="bottom"/>
            <w:tcBorders>
              <w:top w:val="single" w:sz="8" w:color="auto"/>
              <w:bottom w:val="single" w:sz="8" w:color="auto"/>
            </w:tcBorders>
            <w:shd w:val="clear" w:color="auto" w:fill="CCEEFF"/>
          </w:tcPr>
          <w:p>
            <w:pPr>
              <w:jc w:val="right"/>
              <w:ind w:right="155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Level 3 liabilities measured at fair value on a recurring basis for the periods presented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9"/>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Fair Value using Significant Unobservable Inputs (Level 3)</w:t>
            </w:r>
          </w:p>
        </w:tc>
        <w:tc>
          <w:tcPr>
            <w:tcW w:w="1180" w:type="dxa"/>
            <w:vAlign w:val="bottom"/>
            <w:tcBorders>
              <w:bottom w:val="single" w:sz="8" w:color="auto"/>
            </w:tcBorders>
          </w:tcPr>
          <w:p>
            <w:pPr>
              <w:spacing w:after="0"/>
              <w:rPr>
                <w:sz w:val="18"/>
                <w:szCs w:val="18"/>
                <w:color w:val="auto"/>
              </w:rPr>
            </w:pPr>
          </w:p>
        </w:tc>
      </w:tr>
      <w:tr>
        <w:trPr>
          <w:trHeight w:val="211"/>
        </w:trPr>
        <w:tc>
          <w:tcPr>
            <w:tcW w:w="4420" w:type="dxa"/>
            <w:vAlign w:val="bottom"/>
          </w:tcPr>
          <w:p>
            <w:pPr>
              <w:spacing w:after="0"/>
              <w:rPr>
                <w:sz w:val="18"/>
                <w:szCs w:val="18"/>
                <w:color w:val="auto"/>
              </w:rPr>
            </w:pPr>
          </w:p>
        </w:tc>
        <w:tc>
          <w:tcPr>
            <w:tcW w:w="348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60" w:type="dxa"/>
            <w:vAlign w:val="bottom"/>
            <w:gridSpan w:val="4"/>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44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12,901</w:t>
            </w:r>
          </w:p>
        </w:tc>
      </w:tr>
      <w:tr>
        <w:trPr>
          <w:trHeight w:val="226"/>
        </w:trPr>
        <w:tc>
          <w:tcPr>
            <w:tcW w:w="4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w:t>
            </w:r>
          </w:p>
        </w:tc>
        <w:tc>
          <w:tcPr>
            <w:tcW w:w="10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(gains) losses included in earnings</w:t>
            </w:r>
          </w:p>
        </w:tc>
        <w:tc>
          <w:tcPr>
            <w:tcW w:w="10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w:t>
            </w:r>
          </w:p>
        </w:tc>
        <w:tc>
          <w:tcPr>
            <w:tcW w:w="1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w:t>
            </w:r>
          </w:p>
        </w:tc>
        <w:tc>
          <w:tcPr>
            <w:tcW w:w="1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w:t>
            </w:r>
          </w:p>
        </w:tc>
      </w:tr>
      <w:tr>
        <w:trPr>
          <w:trHeight w:val="219"/>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10,246</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10,246</w:t>
            </w:r>
          </w:p>
        </w:tc>
      </w:tr>
      <w:tr>
        <w:trPr>
          <w:trHeight w:val="24"/>
        </w:trPr>
        <w:tc>
          <w:tcPr>
            <w:tcW w:w="44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September 30, 2024 contingent consideration fair value of $12.0 million was valued based upon updated revenue growth projections following asset appreciation in the quarter and revised asset flow expectations. The fair value of contingent consideration related to both the revenue retention earn-out and the growth earn-out is measured using the Monte Carlo simulation model, which considered assumptions including revenue growth projections, revenue volatility, risk free rates and discount rates. The projected contingent payment is discounted to the current period using a discounted cash flow model. Increases or decreases in projected revenues, probabilities of payment, discount rates, projected payment dates and other inputs may result in significantly higher or lower fair value measurements.</w:t>
      </w:r>
    </w:p>
    <w:p>
      <w:pPr>
        <w:spacing w:after="0" w:line="7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range of the unobservable inputs utilized in the fair value measurement of the contingent consideration classified as level 3, the weighted averages represent the output of the Monte Carlo simulation models: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340" w:type="dxa"/>
            <w:vAlign w:val="bottom"/>
          </w:tcPr>
          <w:p>
            <w:pPr>
              <w:spacing w:after="0"/>
              <w:rPr>
                <w:sz w:val="18"/>
                <w:szCs w:val="18"/>
                <w:color w:val="auto"/>
              </w:rPr>
            </w:pPr>
          </w:p>
        </w:tc>
      </w:tr>
      <w:tr>
        <w:trPr>
          <w:trHeight w:val="21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Earn-out</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Pr>
          <w:p>
            <w:pPr>
              <w:spacing w:after="0"/>
              <w:rPr>
                <w:sz w:val="18"/>
                <w:szCs w:val="18"/>
                <w:color w:val="auto"/>
              </w:rPr>
            </w:pPr>
          </w:p>
        </w:tc>
        <w:tc>
          <w:tcPr>
            <w:tcW w:w="23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r>
      <w:tr>
        <w:trPr>
          <w:trHeight w:val="225"/>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Retention earn-out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5"/>
              </w:rPr>
              <w:t>6.3%</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6"/>
              </w:rPr>
              <w:t>—%</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Growth earn-out</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6.3%</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5"/>
              </w:rPr>
              <w:t>1.7%</w:t>
            </w:r>
          </w:p>
        </w:tc>
        <w:tc>
          <w:tcPr>
            <w:tcW w:w="154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8"/>
              </w:rPr>
              <w:t>11.7%</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r>
      <w:tr>
        <w:trPr>
          <w:trHeight w:val="48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340" w:type="dxa"/>
            <w:vAlign w:val="bottom"/>
          </w:tcPr>
          <w:p>
            <w:pPr>
              <w:spacing w:after="0"/>
              <w:rPr>
                <w:sz w:val="24"/>
                <w:szCs w:val="24"/>
                <w:color w:val="auto"/>
              </w:rPr>
            </w:pPr>
          </w:p>
        </w:tc>
      </w:tr>
      <w:tr>
        <w:trPr>
          <w:trHeight w:val="21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Earn-out</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Pr>
          <w:p>
            <w:pPr>
              <w:spacing w:after="0"/>
              <w:rPr>
                <w:sz w:val="18"/>
                <w:szCs w:val="18"/>
                <w:color w:val="auto"/>
              </w:rPr>
            </w:pPr>
          </w:p>
        </w:tc>
        <w:tc>
          <w:tcPr>
            <w:tcW w:w="23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Weighted Average Rate</w:t>
            </w:r>
          </w:p>
        </w:tc>
      </w:tr>
      <w:tr>
        <w:trPr>
          <w:trHeight w:val="225"/>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Retention earn-out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4"/>
              </w:rPr>
              <w:t>11.5%</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w:t>
            </w:r>
          </w:p>
        </w:tc>
      </w:tr>
      <w:tr>
        <w:trPr>
          <w:trHeight w:val="229"/>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5"/>
              </w:rPr>
              <w:t>8.3%</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8"/>
              </w:rPr>
              <w:t>16.3%</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r>
      <w:tr>
        <w:trPr>
          <w:trHeight w:val="270"/>
        </w:trPr>
        <w:tc>
          <w:tcPr>
            <w:tcW w:w="3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r>
      <w:tr>
        <w:trPr>
          <w:trHeight w:val="23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Growth earn-out</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rPr>
              <w:t>12.8%</w:t>
            </w:r>
          </w:p>
        </w:tc>
        <w:tc>
          <w:tcPr>
            <w:tcW w:w="15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8"/>
              </w:rPr>
              <w:t>13.3%</w:t>
            </w:r>
          </w:p>
        </w:tc>
        <w:tc>
          <w:tcPr>
            <w:tcW w:w="10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w:t>
            </w:r>
          </w:p>
        </w:tc>
      </w:tr>
      <w:tr>
        <w:trPr>
          <w:trHeight w:val="230"/>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90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14.9%</w:t>
            </w:r>
          </w:p>
        </w:tc>
        <w:tc>
          <w:tcPr>
            <w:tcW w:w="154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8"/>
              </w:rPr>
              <w:t>24.9%</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8. INCOME TAXES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effective income tax rate differed from the 21% statutory rate for the three and nine months ended September 30, 2024 and 2023 due to permanent differences between book and tax restricted stock expense based on a decrease in our stock price between the restricted stock grant and vesting dates and the discrete impact of life insurance proceeds received in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21"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computed by dividing comprehensive income attributable to Westwood Holdings Group, Inc.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w:t>
      </w:r>
    </w:p>
    <w:p>
      <w:pPr>
        <w:spacing w:after="0" w:line="68"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There were no anti-dilutive restricted shares outstanding for the three months ended September 30, 2024 and there were approximately 56,000 anti-dilutive restricted shares outstanding for the three months ended September 30, 2023. There were approximately 9,000 and 90,000 anti-dilutive restricted shares outstanding for the nine months ended September 30, 2024 and September 30, 2023, respectively.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and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20" w:type="dxa"/>
            <w:vAlign w:val="bottom"/>
          </w:tcPr>
          <w:p>
            <w:pPr>
              <w:spacing w:after="0"/>
              <w:rPr>
                <w:sz w:val="17"/>
                <w:szCs w:val="17"/>
                <w:color w:val="auto"/>
              </w:rPr>
            </w:pPr>
          </w:p>
        </w:tc>
        <w:tc>
          <w:tcPr>
            <w:tcW w:w="3000" w:type="dxa"/>
            <w:vAlign w:val="bottom"/>
            <w:gridSpan w:val="4"/>
          </w:tcPr>
          <w:p>
            <w:pPr>
              <w:jc w:val="right"/>
              <w:ind w:right="436"/>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00"/>
        </w:trPr>
        <w:tc>
          <w:tcPr>
            <w:tcW w:w="45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43"/>
        </w:trPr>
        <w:tc>
          <w:tcPr>
            <w:tcW w:w="4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Comprehensive income attributable to Westwood Holdings</w:t>
            </w:r>
          </w:p>
        </w:tc>
        <w:tc>
          <w:tcPr>
            <w:tcW w:w="300" w:type="dxa"/>
            <w:vAlign w:val="bottom"/>
            <w:vMerge w:val="restart"/>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3,356</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6,944</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Group, Inc.</w:t>
            </w:r>
          </w:p>
        </w:tc>
        <w:tc>
          <w:tcPr>
            <w:tcW w:w="3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basic</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8,123,714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8,002,537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8,140,664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7,949,773</w:t>
            </w:r>
          </w:p>
        </w:tc>
        <w:tc>
          <w:tcPr>
            <w:tcW w:w="0" w:type="dxa"/>
            <w:vAlign w:val="bottom"/>
          </w:tcPr>
          <w:p>
            <w:pPr>
              <w:spacing w:after="0"/>
              <w:rPr>
                <w:sz w:val="1"/>
                <w:szCs w:val="1"/>
                <w:color w:val="auto"/>
              </w:rPr>
            </w:pPr>
          </w:p>
        </w:tc>
      </w:tr>
      <w:tr>
        <w:trPr>
          <w:trHeight w:val="23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potential shares from unvested restricted shares</w:t>
            </w: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364,658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114,210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307,965</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122,966</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shares outstanding - diluted</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8,488,372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8,116,747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8,448,629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8,072,739</w:t>
            </w:r>
          </w:p>
        </w:tc>
        <w:tc>
          <w:tcPr>
            <w:tcW w:w="0" w:type="dxa"/>
            <w:vAlign w:val="bottom"/>
          </w:tcPr>
          <w:p>
            <w:pPr>
              <w:spacing w:after="0"/>
              <w:rPr>
                <w:sz w:val="1"/>
                <w:szCs w:val="1"/>
                <w:color w:val="auto"/>
              </w:rPr>
            </w:pPr>
          </w:p>
        </w:tc>
      </w:tr>
      <w:tr>
        <w:trPr>
          <w:trHeight w:val="23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0" w:type="dxa"/>
            <w:vAlign w:val="bottom"/>
          </w:tcPr>
          <w:p>
            <w:pPr>
              <w:spacing w:after="0"/>
              <w:rPr>
                <w:sz w:val="1"/>
                <w:szCs w:val="1"/>
                <w:color w:val="auto"/>
              </w:rPr>
            </w:pPr>
          </w:p>
        </w:tc>
      </w:tr>
      <w:tr>
        <w:trPr>
          <w:trHeight w:val="23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right="6900" w:firstLine="8"/>
        <w:spacing w:after="0" w:line="378"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Goodwill</w:t>
      </w: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liabilities at the date of acquisition. Goodwill is not amortized but is reviewed for impairment annually, or between annual assessments if a triggering event occurs or circumstances change that would more likely than not result in the fair value of a reporting unit below its carrying amount. We completed our most recent annual goodwill impairment assessment during the third quarter of 2024 and determined that no goodwill impairment related to the Advisory or Trust segment was required. There was no goodwill impairment during the three and nine months ended September 30, 2024 or September 30, 2023.</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goodwill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Trust Segment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Advisory Segment</w:t>
            </w:r>
          </w:p>
        </w:tc>
        <w:tc>
          <w:tcPr>
            <w:tcW w:w="500" w:type="dxa"/>
            <w:vAlign w:val="bottom"/>
          </w:tcPr>
          <w:p>
            <w:pPr>
              <w:spacing w:after="0"/>
              <w:rPr>
                <w:sz w:val="18"/>
                <w:szCs w:val="18"/>
                <w:color w:val="auto"/>
              </w:rPr>
            </w:pPr>
          </w:p>
        </w:tc>
        <w:tc>
          <w:tcPr>
            <w:tcW w:w="162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580" w:type="dxa"/>
            <w:vAlign w:val="bottom"/>
            <w:tcBorders>
              <w:top w:val="single" w:sz="8" w:color="auto"/>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58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4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39,501</w:t>
            </w:r>
          </w:p>
        </w:tc>
      </w:tr>
      <w:tr>
        <w:trPr>
          <w:trHeight w:val="420"/>
        </w:trPr>
        <w:tc>
          <w:tcPr>
            <w:tcW w:w="46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Trust Segment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Advisory Segment</w:t>
            </w:r>
          </w:p>
        </w:tc>
        <w:tc>
          <w:tcPr>
            <w:tcW w:w="500" w:type="dxa"/>
            <w:vAlign w:val="bottom"/>
          </w:tcPr>
          <w:p>
            <w:pPr>
              <w:spacing w:after="0"/>
              <w:rPr>
                <w:sz w:val="24"/>
                <w:szCs w:val="24"/>
                <w:color w:val="auto"/>
              </w:rPr>
            </w:pPr>
          </w:p>
        </w:tc>
        <w:tc>
          <w:tcPr>
            <w:tcW w:w="162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580" w:type="dxa"/>
            <w:vAlign w:val="bottom"/>
            <w:tcBorders>
              <w:top w:val="single" w:sz="8" w:color="auto"/>
              <w:bottom w:val="single" w:sz="8" w:color="auto"/>
            </w:tcBorders>
            <w:shd w:val="clear" w:color="auto" w:fill="CCEEFF"/>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35,732</w:t>
            </w:r>
          </w:p>
        </w:tc>
      </w:tr>
      <w:tr>
        <w:trPr>
          <w:trHeight w:val="210"/>
        </w:trPr>
        <w:tc>
          <w:tcPr>
            <w:tcW w:w="4620" w:type="dxa"/>
            <w:vAlign w:val="bottom"/>
          </w:tcPr>
          <w:p>
            <w:pPr>
              <w:ind w:left="140"/>
              <w:spacing w:after="0" w:line="210" w:lineRule="exact"/>
              <w:rPr>
                <w:sz w:val="20"/>
                <w:szCs w:val="20"/>
                <w:color w:val="auto"/>
              </w:rPr>
            </w:pPr>
            <w:r>
              <w:rPr>
                <w:rFonts w:ascii="Times New Roman" w:cs="Times New Roman" w:eastAsia="Times New Roman" w:hAnsi="Times New Roman"/>
                <w:sz w:val="18"/>
                <w:szCs w:val="18"/>
                <w:color w:val="auto"/>
              </w:rPr>
              <w:t>Salient Acquisition adjustment</w:t>
            </w:r>
            <w:r>
              <w:rPr>
                <w:rFonts w:ascii="Times New Roman" w:cs="Times New Roman" w:eastAsia="Times New Roman" w:hAnsi="Times New Roman"/>
                <w:sz w:val="23"/>
                <w:szCs w:val="23"/>
                <w:color w:val="auto"/>
                <w:vertAlign w:val="superscript"/>
              </w:rPr>
              <w:t>1</w:t>
            </w:r>
          </w:p>
        </w:tc>
        <w:tc>
          <w:tcPr>
            <w:tcW w:w="1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Broadmark Acquisition</w:t>
            </w:r>
          </w:p>
        </w:tc>
        <w:tc>
          <w:tcPr>
            <w:tcW w:w="15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580" w:type="dxa"/>
            <w:vAlign w:val="bottom"/>
            <w:tcBorders>
              <w:top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16,401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23,100</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39,501</w:t>
            </w:r>
          </w:p>
        </w:tc>
      </w:tr>
    </w:tbl>
    <w:p>
      <w:pPr>
        <w:spacing w:after="0" w:line="149" w:lineRule="exact"/>
        <w:rPr>
          <w:sz w:val="20"/>
          <w:szCs w:val="20"/>
          <w:color w:val="auto"/>
        </w:rPr>
      </w:pPr>
    </w:p>
    <w:p>
      <w:pPr>
        <w:ind w:left="100" w:hanging="92"/>
        <w:spacing w:after="0"/>
        <w:tabs>
          <w:tab w:leader="none" w:pos="10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subsequent purchase price adjustments for the Salient Acquisition.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nine months ended September 30, 2024 or September 30,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11. LEASES</w:t>
      </w:r>
    </w:p>
    <w:p>
      <w:pPr>
        <w:spacing w:after="0" w:line="121"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there have been no material changes outside the ordinary course of business to our leases since December 31, 2023. For information regarding our leases, refer to Note 12 “Leases” in Part IV, Item 15. “Exhibits, Financial Statement Schedules” in our Annual Report on Form 10-K for the fiscal year ended December 31, 2023.</w:t>
      </w:r>
    </w:p>
    <w:p>
      <w:pPr>
        <w:spacing w:after="0" w:line="200" w:lineRule="exact"/>
        <w:rPr>
          <w:sz w:val="20"/>
          <w:szCs w:val="20"/>
          <w:color w:val="auto"/>
        </w:rPr>
      </w:pPr>
    </w:p>
    <w:p>
      <w:pPr>
        <w:spacing w:after="0" w:line="215" w:lineRule="exact"/>
        <w:rPr>
          <w:sz w:val="20"/>
          <w:szCs w:val="20"/>
          <w:color w:val="auto"/>
        </w:rPr>
      </w:pPr>
    </w:p>
    <w:p>
      <w:pPr>
        <w:ind w:right="8660" w:firstLine="8"/>
        <w:spacing w:after="0" w:line="400" w:lineRule="auto"/>
        <w:tabs>
          <w:tab w:leader="none" w:pos="27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Share Repurchase Program</w:t>
      </w: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September 30, 2024, there are $0.5 million of shares that may yet be repurchased under our plan.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September 30, 2024, the Company repurchased 21,879 shares of our common stock at an average price of $12.50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including commissions, for an aggregate purchase price of $0.3 million under our share repurchase plan. During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the Company repurchased 108,225 shares of our common stock at an average price of $12.46 per share, including commissions, for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of $1.3 million under our share repurchase plan. During the three and nine months ended September 30, 2023, the Company did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repurchase any shares of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121"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evaluated (i) our relationship as sponsor of the Common Trust Funds (“CTFs”) and managing member of the private equity funds Westwood Hospitality, Westwood Technology Opportunities Fund I, LP and Westwood Energy Secondaries (collectively the “Private Funds”), (ii) our advisory relationships with the Westwood Funds® and (iii) our investments in InvestCloud, Vista, Zarvona Energy Fund GP and Zarvona Energy Fund II-A as discussed in Note 6 </w:t>
      </w:r>
      <w:r>
        <w:rPr>
          <w:rFonts w:ascii="Times New Roman" w:cs="Times New Roman" w:eastAsia="Times New Roman" w:hAnsi="Times New Roman"/>
          <w:sz w:val="18"/>
          <w:szCs w:val="18"/>
          <w:color w:val="222222"/>
        </w:rPr>
        <w:t>“Investments”</w:t>
      </w:r>
      <w:r>
        <w:rPr>
          <w:rFonts w:ascii="Times New Roman" w:cs="Times New Roman" w:eastAsia="Times New Roman" w:hAnsi="Times New Roman"/>
          <w:sz w:val="18"/>
          <w:szCs w:val="18"/>
          <w:color w:val="auto"/>
        </w:rPr>
        <w:t xml:space="preserve"> (“Private Equity”) to determine whether each of these entities is a variable interest entity (“VIE”) or voting ownership entity (“VOE”).</w:t>
      </w:r>
    </w:p>
    <w:p>
      <w:pPr>
        <w:spacing w:after="0" w:line="75"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Based on our analyses, we determined that the CTFs, Private Funds and Zarvona Energy Fund II-A were VIEs, as the at-risk equity holders do not have the ability to direct the activities that most significantly impact the entities' economic performance, and, while the Company and its representatives have a majority control of the entities' respective boards of directors and can influence the respective entities' management and affairs, the Company is not exposed to a majority of the economics of those entities and does not qualify as primary beneficiaries for those entities. As we do not qualify as primary beneficiaries for those entities, we have not consolidated our investments in those entities for the periods ending September 30, 2024 and December 31, 2023.</w:t>
      </w:r>
    </w:p>
    <w:p>
      <w:pPr>
        <w:spacing w:after="0" w:line="7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Based on our analyses, we determined the Westwood Funds®, InvestCloud, Vista, and Zarvona Energy Fund GP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As we do not own controlling financial interests in those entities, we have not consolidated our investments in those entities for the periods ending September 30, 2024 and December 31, 2023.</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recognized fee revenue from the Westwood VIEs and Westwood VOEs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3980" w:type="dxa"/>
            <w:vAlign w:val="bottom"/>
            <w:gridSpan w:val="4"/>
          </w:tcPr>
          <w:p>
            <w:pPr>
              <w:jc w:val="right"/>
              <w:ind w:right="131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2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25"/>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the AUM and the risk of loss in each vehicle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 at Risk</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VIEs/VOEs: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Westwood Funds®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Trust Funds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Funds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Under Management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14. RELATED PARTY TRANSACTIONS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and nine months ended September 30, 2024 and September 30, 2023, the Company earned immaterial fees from the affiliated funds.</w:t>
      </w:r>
    </w:p>
    <w:p>
      <w:pPr>
        <w:spacing w:after="0" w:line="72"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One of our directors served as a consultant to the Company under a consulting agreement that expired on December 31, 2023. We recorded immaterial expenses related to this agreement for the three and nine months ended September 30,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Dividend Declared</w:t>
      </w:r>
    </w:p>
    <w:p>
      <w:pPr>
        <w:spacing w:after="0" w:line="11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On October 30, 2024, the Board of Directors declared a quarterly cash dividend of $0.15 per share of common stock payable on January 3, 2025 to stockholders of record on December 2, 2024.</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ETF Partnership</w:t>
      </w:r>
    </w:p>
    <w:p>
      <w:pPr>
        <w:spacing w:after="0" w:line="11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On October 28, 2024, Westwood entered into a partnership with a third party to form Westwood Engineered Beta ("WEBs") to develop and market new exchange-traded fund ("ETF") strategies. Westwood will make a $4 million investment in WEBs resulting in a non-controlling interest and will provide distribution services and administrative support to WEBs. Westwood also has an exclusive option to buy the shares of WEBs it does not own, exercisable under certain conditions.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right="9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Statements</w:t>
      </w:r>
    </w:p>
    <w:p>
      <w:pPr>
        <w:spacing w:after="0" w:line="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Statements in this report and our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2023 and those risks set forth below:</w:t>
      </w:r>
    </w:p>
    <w:p>
      <w:pPr>
        <w:spacing w:after="0" w:line="81"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AUM and AUA;</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actions of activist stockholders;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common stockholders have included and may in the future include a return of capital;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foreign company investments in our AUM;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operational tasks;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and oversee third-party vendors;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operations and funds of our subsidiaries;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thinly traded and may be subject to volatility;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termination of client agreements and the related investment redemptions;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1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and may continue to make business combinations as a part of our business strategy, which may present certain risks and uncertainties;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execute on our strategic initiatives;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declare and pay dividends;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future capital requirements on favorable terms;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ectPr>
          <w:pgSz w:w="11900" w:h="16838" w:orient="portrait"/>
          <w:cols w:equalWidth="0" w:num="1">
            <w:col w:w="11040"/>
          </w:cols>
          <w:pgMar w:left="320" w:top="108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type w:val="continuous"/>
        </w:sectPr>
      </w:pPr>
    </w:p>
    <w:bookmarkStart w:id="20" w:name="page21"/>
    <w:bookmarkEnd w:id="20"/>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Westwood Advisors, L.L.C. and Salient Advisors, LP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w:t>
      </w:r>
    </w:p>
    <w:p>
      <w:pPr>
        <w:spacing w:after="0" w:line="7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Westwood Trust provides trust and custodial services and participation in common trust funds to institutions and high net worth individuals. Our revenues are generally derived from fees based on a percentage of AUM.</w:t>
      </w:r>
    </w:p>
    <w:p>
      <w:pPr>
        <w:spacing w:after="0" w:line="5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revenues are generally derived from fees based on a percentage of AUM and AUA, and Westwood Management and Westwood Trust collectively had AUM of approximately $16.8 billion and AUA of approximately $1.0 billion at September 30, 2024. We have established a track record of delivering competitive, risk-adjusted returns for our clients.</w:t>
      </w:r>
    </w:p>
    <w:p>
      <w:pPr>
        <w:spacing w:after="0" w:line="6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an average investment experience of over twenty years.</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7"/>
          <w:szCs w:val="17"/>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Consolidated Financial Statements contain no deferred advisory fee revenues.</w:t>
      </w:r>
    </w:p>
    <w:p>
      <w:pPr>
        <w:spacing w:after="0" w:line="64"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Consolidated Financial Statements contain no deferred advisory fee revenues.</w:t>
      </w:r>
    </w:p>
    <w:p>
      <w:pPr>
        <w:spacing w:after="0" w:line="75" w:lineRule="exact"/>
        <w:rPr>
          <w:sz w:val="20"/>
          <w:szCs w:val="20"/>
          <w:color w:val="auto"/>
        </w:rPr>
      </w:pPr>
    </w:p>
    <w:p>
      <w:pPr>
        <w:ind w:right="2040" w:firstLine="486"/>
        <w:spacing w:after="0" w:line="375" w:lineRule="auto"/>
        <w:rPr>
          <w:sz w:val="20"/>
          <w:szCs w:val="20"/>
          <w:color w:val="auto"/>
        </w:rPr>
      </w:pPr>
      <w:r>
        <w:rPr>
          <w:rFonts w:ascii="Times New Roman" w:cs="Times New Roman" w:eastAsia="Times New Roman" w:hAnsi="Times New Roman"/>
          <w:sz w:val="18"/>
          <w:szCs w:val="18"/>
          <w:color w:val="auto"/>
        </w:rPr>
        <w:t xml:space="preserve">Our other revenues primarily consist of investment income from seed money investments into new investment strategies. </w:t>
      </w:r>
      <w:r>
        <w:rPr>
          <w:rFonts w:ascii="Times New Roman" w:cs="Times New Roman" w:eastAsia="Times New Roman" w:hAnsi="Times New Roman"/>
          <w:sz w:val="18"/>
          <w:szCs w:val="18"/>
          <w:i w:val="1"/>
          <w:iCs w:val="1"/>
          <w:color w:val="auto"/>
        </w:rPr>
        <w:t>Employee Compensation and Benefits</w:t>
      </w:r>
    </w:p>
    <w:p>
      <w:pPr>
        <w:spacing w:after="0" w:line="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Employee compensation and benefits costs generally consist of salaries, sales commissions, incentive compensation, stock-based compensation expense and benefits.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color w:val="auto"/>
        </w:rPr>
        <w:t>Sales and marketing costs relate to our marketing efforts, including travel and entertainment, direct marketing and advertising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Mutual Funds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Expenses for Westwood mutual funds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Information technology expenses include costs associated with proprietary investment research tools, maintenance and support, computing hardware, software licenses, telecommunications and other 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Professional services expenses generally consist of costs associated with sub-advisory fees, audit, legal and other professional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from change in fair value of contingent consideration</w:t>
      </w:r>
    </w:p>
    <w:p>
      <w:pPr>
        <w:spacing w:after="0" w:line="1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(Gain) loss from change in fair value of contingent consideration consists of fair value adjustments related to contingent consideration from our 2022 acquisition of Salient, with gains representing reductions in value and losses representing increases in value.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Acquisition expenses consist of costs related to the Salient Acquisition.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Change in Unrealized Appreciation (Depreciation) on Private Investments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change in unrealized appreciation (depreciation) on private investments includes changes in the value of our private equity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investment income primarily includes interest and dividend income on fixed income securities and money market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primarily consists of income from the sublease of a portion of our corporate offices and the receipt of life insurance proceeds.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Firm-wide Assets Under Management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Firm-wide assets under management of $17.7 billion at September 30, 2024 consisted of $16.8 billion of AUM and $1.0 billion of AUA.</w:t>
      </w:r>
    </w:p>
    <w:p>
      <w:pPr>
        <w:spacing w:after="0" w:line="17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AUM increased $2.4 billion to $16.8 billion at September 30, 2024 compared with $14.4 billion at September 30, 2023. The average of beginning and ending AUM for the third quarter of 2024 was $16.3 billion compared to $14.7 billion for the third quarter of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01" w:right="579" w:bottom="1440" w:gutter="0" w:footer="0" w:header="0"/>
        </w:sectPr>
      </w:pPr>
    </w:p>
    <w:bookmarkStart w:id="22" w:name="page23"/>
    <w:bookmarkEnd w:id="22"/>
    <w:p>
      <w:pPr>
        <w:ind w:left="500"/>
        <w:spacing w:after="0"/>
        <w:rPr>
          <w:sz w:val="20"/>
          <w:szCs w:val="20"/>
          <w:color w:val="auto"/>
        </w:rPr>
      </w:pPr>
      <w:r>
        <w:rPr>
          <w:rFonts w:ascii="Times New Roman" w:cs="Times New Roman" w:eastAsia="Times New Roman" w:hAnsi="Times New Roman"/>
          <w:sz w:val="18"/>
          <w:szCs w:val="18"/>
          <w:color w:val="auto"/>
        </w:rPr>
        <w:t>The following table displays AUM as of September 30, 2024 and 2023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5"/>
        </w:trPr>
        <w:tc>
          <w:tcPr>
            <w:tcW w:w="74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Institutional</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30"/>
        </w:trPr>
        <w:tc>
          <w:tcPr>
            <w:tcW w:w="7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Wealth Management</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7"/>
                <w:szCs w:val="17"/>
                <w:color w:val="auto"/>
              </w:rPr>
              <w:t>16</w:t>
            </w:r>
          </w:p>
        </w:tc>
      </w:tr>
      <w:tr>
        <w:trPr>
          <w:trHeight w:val="229"/>
        </w:trPr>
        <w:tc>
          <w:tcPr>
            <w:tcW w:w="7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0</w:t>
            </w:r>
          </w:p>
        </w:tc>
      </w:tr>
      <w:tr>
        <w:trPr>
          <w:trHeight w:val="223"/>
        </w:trPr>
        <w:tc>
          <w:tcPr>
            <w:tcW w:w="7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AUM</w:t>
            </w:r>
            <w:r>
              <w:rPr>
                <w:rFonts w:ascii="Times New Roman" w:cs="Times New Roman" w:eastAsia="Times New Roman" w:hAnsi="Times New Roman"/>
                <w:sz w:val="23"/>
                <w:szCs w:val="23"/>
                <w:b w:val="1"/>
                <w:bCs w:val="1"/>
                <w:color w:val="auto"/>
                <w:vertAlign w:val="superscript"/>
              </w:rPr>
              <w:t>(4)</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left="340" w:hanging="332"/>
        <w:spacing w:after="0" w:line="26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jc w:val="both"/>
        <w:ind w:left="340" w:hanging="332"/>
        <w:spacing w:after="0" w:line="256"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unaffiliated sub-advisors. For certain assets in this category Westwood Trust provides limited custodial services for a minimal or no fee, viewing these assets as potentially converting to fee-generating managed assets in the future.</w:t>
      </w:r>
    </w:p>
    <w:p>
      <w:pPr>
        <w:spacing w:after="0" w:line="1"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ind w:left="340" w:hanging="332"/>
        <w:spacing w:after="0" w:line="283"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AUM excludes $1.0 billion and $1.1 billion of AUA as of September 30, 2024 and 2023, respectively, related to our model portfolios for which we provide investment advice on a fee basis without having investment management authority.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Roll-Forward of Assets Under Management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4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8"/>
              </w:rPr>
              <w:t>Institutional</w:t>
            </w:r>
          </w:p>
        </w:tc>
        <w:tc>
          <w:tcPr>
            <w:tcW w:w="4480" w:type="dxa"/>
            <w:vAlign w:val="bottom"/>
            <w:tcBorders>
              <w:bottom w:val="single" w:sz="8" w:color="CCEEFF"/>
            </w:tcBorders>
            <w:gridSpan w:val="3"/>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6,968</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9"/>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2"/>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4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Wealth Management</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r>
      <w:tr>
        <w:trPr>
          <w:trHeight w:val="213"/>
        </w:trPr>
        <w:tc>
          <w:tcPr>
            <w:tcW w:w="20" w:type="dxa"/>
            <w:vAlign w:val="bottom"/>
          </w:tcPr>
          <w:p>
            <w:pPr>
              <w:spacing w:after="0"/>
              <w:rPr>
                <w:sz w:val="18"/>
                <w:szCs w:val="18"/>
                <w:color w:val="auto"/>
              </w:rPr>
            </w:pPr>
          </w:p>
        </w:tc>
        <w:tc>
          <w:tcPr>
            <w:tcW w:w="544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07"/>
        </w:trPr>
        <w:tc>
          <w:tcPr>
            <w:tcW w:w="20" w:type="dxa"/>
            <w:vAlign w:val="bottom"/>
          </w:tcPr>
          <w:p>
            <w:pPr>
              <w:spacing w:after="0"/>
              <w:rPr>
                <w:sz w:val="17"/>
                <w:szCs w:val="17"/>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7"/>
        </w:trPr>
        <w:tc>
          <w:tcPr>
            <w:tcW w:w="20" w:type="dxa"/>
            <w:vAlign w:val="bottom"/>
            <w:tcBorders>
              <w:bottom w:val="single" w:sz="8" w:color="CCEEFF"/>
            </w:tcBorders>
          </w:tcPr>
          <w:p>
            <w:pPr>
              <w:spacing w:after="0"/>
              <w:rPr>
                <w:sz w:val="17"/>
                <w:szCs w:val="17"/>
                <w:color w:val="auto"/>
              </w:rPr>
            </w:pPr>
          </w:p>
        </w:tc>
        <w:tc>
          <w:tcPr>
            <w:tcW w:w="54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4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Mutual Funds</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13"/>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0"/>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2"/>
        </w:trPr>
        <w:tc>
          <w:tcPr>
            <w:tcW w:w="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4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 AUM</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14,779</w:t>
            </w:r>
          </w:p>
        </w:tc>
      </w:tr>
      <w:tr>
        <w:trPr>
          <w:trHeight w:val="213"/>
        </w:trPr>
        <w:tc>
          <w:tcPr>
            <w:tcW w:w="20" w:type="dxa"/>
            <w:vAlign w:val="bottom"/>
          </w:tcPr>
          <w:p>
            <w:pPr>
              <w:spacing w:after="0"/>
              <w:rPr>
                <w:sz w:val="18"/>
                <w:szCs w:val="18"/>
                <w:color w:val="auto"/>
              </w:rPr>
            </w:pPr>
          </w:p>
        </w:tc>
        <w:tc>
          <w:tcPr>
            <w:tcW w:w="544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r>
      <w:tr>
        <w:trPr>
          <w:trHeight w:val="207"/>
        </w:trPr>
        <w:tc>
          <w:tcPr>
            <w:tcW w:w="20" w:type="dxa"/>
            <w:vAlign w:val="bottom"/>
          </w:tcPr>
          <w:p>
            <w:pPr>
              <w:spacing w:after="0"/>
              <w:rPr>
                <w:sz w:val="17"/>
                <w:szCs w:val="17"/>
                <w:color w:val="auto"/>
              </w:rPr>
            </w:pPr>
          </w:p>
        </w:tc>
        <w:tc>
          <w:tcPr>
            <w:tcW w:w="5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21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07"/>
        </w:trPr>
        <w:tc>
          <w:tcPr>
            <w:tcW w:w="20" w:type="dxa"/>
            <w:vAlign w:val="bottom"/>
            <w:tcBorders>
              <w:bottom w:val="single" w:sz="8" w:color="CCEEFF"/>
            </w:tcBorders>
          </w:tcPr>
          <w:p>
            <w:pPr>
              <w:spacing w:after="0"/>
              <w:rPr>
                <w:sz w:val="17"/>
                <w:szCs w:val="17"/>
                <w:color w:val="auto"/>
              </w:rPr>
            </w:pPr>
          </w:p>
        </w:tc>
        <w:tc>
          <w:tcPr>
            <w:tcW w:w="54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Net change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780" w:firstLine="8"/>
        <w:spacing w:after="0" w:line="280" w:lineRule="auto"/>
        <w:tabs>
          <w:tab w:leader="none" w:pos="1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assets under management acquired from Salient were reclassified from Mutual Funds to Institutional as of December 31, 2022 to be consistent with the classification of existing assets.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the three months ended September 30, 2023</w:t>
      </w:r>
    </w:p>
    <w:p>
      <w:pPr>
        <w:spacing w:after="0" w:line="121"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The change in AUM for the three months ended September 30, 2024 was due to market appreciation of $1.1 billion offset by net outflows of $0.1 billion.</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AUM for the three months ended September 30, 2023 was due to market depreciation of $0.3 billion and net outflows of $0.3 billion.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outflows were primarily related to our SmallCap strategy.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121"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The $1.3 billion increase in AUM for the nine months ended September 30, 2024 was due to market appreciation of $1.9 billion offset by net outflows of $0.6 billion. Net outflows were primarily related to our LargeCap Value strategy.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24" w:name="page25"/>
    <w:bookmarkEnd w:id="24"/>
    <w:p>
      <w:pPr>
        <w:ind w:right="820" w:firstLine="486"/>
        <w:spacing w:after="0" w:line="282" w:lineRule="auto"/>
        <w:rPr>
          <w:sz w:val="20"/>
          <w:szCs w:val="20"/>
          <w:color w:val="auto"/>
        </w:rPr>
      </w:pPr>
      <w:r>
        <w:rPr>
          <w:rFonts w:ascii="Times New Roman" w:cs="Times New Roman" w:eastAsia="Times New Roman" w:hAnsi="Times New Roman"/>
          <w:sz w:val="18"/>
          <w:szCs w:val="18"/>
          <w:color w:val="auto"/>
        </w:rPr>
        <w:t>The $0.4 billion decrease in AUM for the nine months ended September 30, 2023 was due to net outflows of $0.9 billion offset by market appreciation of $0.5 billion. Net outflows were primarily related to our Income Opportunity and MLP strategies.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Roll-Forward of Assets Under Advisement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12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Assets Under Advisement</w:t>
            </w:r>
          </w:p>
        </w:tc>
        <w:tc>
          <w:tcPr>
            <w:tcW w:w="2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Inflows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3"/>
        </w:trPr>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Outflows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12"/>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client flows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Market appreciation (depreciation)</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2"/>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 of period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2"/>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319"/>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7"/>
                <w:szCs w:val="17"/>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8"/>
                <w:szCs w:val="18"/>
                <w:color w:val="auto"/>
              </w:rPr>
            </w:pPr>
          </w:p>
        </w:tc>
        <w:tc>
          <w:tcPr>
            <w:tcW w:w="1000" w:type="dxa"/>
            <w:vAlign w:val="bottom"/>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Advisory fees: asset-based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Advisory fees: performance-based</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Trust fees: asset-based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15,118</w:t>
            </w:r>
          </w:p>
        </w:tc>
        <w:tc>
          <w:tcPr>
            <w:tcW w:w="11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1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1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07"/>
        </w:trPr>
        <w:tc>
          <w:tcPr>
            <w:tcW w:w="4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21,880</w:t>
            </w: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69,139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66,552</w:t>
            </w:r>
          </w:p>
        </w:tc>
        <w:tc>
          <w:tcPr>
            <w:tcW w:w="11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12,661</w:t>
            </w: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40,551</w:t>
            </w:r>
          </w:p>
        </w:tc>
        <w:tc>
          <w:tcPr>
            <w:tcW w:w="11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1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Westwood mutual funds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12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1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Information technology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1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12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1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1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9,579</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loss from change in fair value of contingent consideration</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12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10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expenses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1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23,333</w:t>
            </w:r>
          </w:p>
        </w:tc>
        <w:tc>
          <w:tcPr>
            <w:tcW w:w="1120" w:type="dxa"/>
            <w:vAlign w:val="bottom"/>
            <w:tcBorders>
              <w:bottom w:val="single" w:sz="8" w:color="CCEEFF"/>
            </w:tcBorders>
            <w:gridSpan w:val="2"/>
          </w:tcPr>
          <w:p>
            <w:pPr>
              <w:jc w:val="right"/>
              <w:ind w:right="117"/>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70,870</w:t>
            </w:r>
          </w:p>
        </w:tc>
        <w:tc>
          <w:tcPr>
            <w:tcW w:w="1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63,390</w:t>
            </w:r>
          </w:p>
        </w:tc>
        <w:tc>
          <w:tcPr>
            <w:tcW w:w="1100" w:type="dxa"/>
            <w:vAlign w:val="bottom"/>
            <w:tcBorders>
              <w:bottom w:val="single" w:sz="8" w:color="CCEEFF"/>
            </w:tcBorders>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 (loss)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700" w:type="dxa"/>
            <w:vAlign w:val="bottom"/>
          </w:tcPr>
          <w:p>
            <w:pPr>
              <w:ind w:left="220"/>
              <w:spacing w:after="0" w:line="142" w:lineRule="exact"/>
              <w:rPr>
                <w:sz w:val="20"/>
                <w:szCs w:val="20"/>
                <w:color w:val="auto"/>
              </w:rPr>
            </w:pPr>
            <w:r>
              <w:rPr>
                <w:rFonts w:ascii="Times New Roman" w:cs="Times New Roman" w:eastAsia="Times New Roman" w:hAnsi="Times New Roman"/>
                <w:sz w:val="16"/>
                <w:szCs w:val="16"/>
                <w:color w:val="auto"/>
              </w:rPr>
              <w:t>Net change in unrealized appreciation (depreciation) on private</w:t>
            </w:r>
          </w:p>
        </w:tc>
        <w:tc>
          <w:tcPr>
            <w:tcW w:w="2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vMerge w:val="restart"/>
          </w:tcPr>
          <w:p>
            <w:pPr>
              <w:jc w:val="right"/>
              <w:ind w:right="84"/>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investment income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1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1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120" w:type="dxa"/>
            <w:vAlign w:val="bottom"/>
            <w:tcBorders>
              <w:bottom w:val="single" w:sz="8" w:color="CCEEFF"/>
            </w:tcBorders>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5,876</w:t>
            </w:r>
          </w:p>
        </w:tc>
        <w:tc>
          <w:tcPr>
            <w:tcW w:w="1100" w:type="dxa"/>
            <w:vAlign w:val="bottom"/>
            <w:tcBorders>
              <w:bottom w:val="single" w:sz="8" w:color="CCEEFF"/>
            </w:tcBorders>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120" w:type="dxa"/>
            <w:vAlign w:val="bottom"/>
            <w:tcBorders>
              <w:bottom w:val="single" w:sz="8" w:color="CCEEFF"/>
            </w:tcBorders>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100" w:type="dxa"/>
            <w:vAlign w:val="bottom"/>
            <w:tcBorders>
              <w:bottom w:val="single" w:sz="8" w:color="CCEEFF"/>
            </w:tcBorders>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Less: Comprehensive income (loss) attributable to noncontrolling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7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Comprehensive income attributable to Westwood Holdings Group,</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CCEEFF"/>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55" w:lineRule="exact"/>
        <w:rPr>
          <w:sz w:val="20"/>
          <w:szCs w:val="20"/>
          <w:color w:val="auto"/>
        </w:rPr>
      </w:pPr>
    </w:p>
    <w:p>
      <w:pPr>
        <w:ind w:left="180"/>
        <w:spacing w:after="0"/>
        <w:tabs>
          <w:tab w:leader="none" w:pos="52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three months ended September 30, 2023</w:t>
      </w:r>
    </w:p>
    <w:p>
      <w:pPr>
        <w:spacing w:after="0" w:line="119" w:lineRule="exact"/>
        <w:rPr>
          <w:sz w:val="20"/>
          <w:szCs w:val="20"/>
          <w:color w:val="auto"/>
        </w:rPr>
      </w:pPr>
    </w:p>
    <w:p>
      <w:pPr>
        <w:ind w:right="1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for the three months ended September 30, 2024 were higher than revenues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due to higher average AUM.</w:t>
      </w:r>
    </w:p>
    <w:p>
      <w:pPr>
        <w:spacing w:after="0" w:line="50"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for the three months ended September 30, 2024 increased $0.9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2023 primarily due to higher incentive compensation following increased AUM balances and additional headcount.</w:t>
      </w:r>
    </w:p>
    <w:p>
      <w:pPr>
        <w:spacing w:after="0" w:line="65" w:lineRule="exact"/>
        <w:rPr>
          <w:sz w:val="20"/>
          <w:szCs w:val="20"/>
          <w:color w:val="auto"/>
        </w:rPr>
      </w:pPr>
    </w:p>
    <w:p>
      <w:pPr>
        <w:ind w:right="3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Professional services for the three months ended September 30, 2024 increased $0.8 million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primarily due to higher consulting costs related to our Managed Investment Solutions ("MIS") capability.</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(Gain) loss from change in fair value of contingent consideration. </w:t>
      </w:r>
      <w:r>
        <w:rPr>
          <w:rFonts w:ascii="Times New Roman" w:cs="Times New Roman" w:eastAsia="Times New Roman" w:hAnsi="Times New Roman"/>
          <w:sz w:val="18"/>
          <w:szCs w:val="18"/>
          <w:color w:val="auto"/>
        </w:rPr>
        <w:t>We recorded a loss of $1.8 million upon the</w:t>
      </w:r>
    </w:p>
    <w:p>
      <w:pPr>
        <w:spacing w:after="0" w:line="2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remeasurement of contingent consideration of the Salient Acquisition primarily due to positive changes in growth projections following asset appreciation in the quarter.</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decreased due to the receipt of life insurance proceeds of $5.0 million in the third quarter of 2023.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26" w:name="page27"/>
    <w:bookmarkEnd w:id="26"/>
    <w:p>
      <w:pPr>
        <w:ind w:right="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Our effective tax rate differed from the 21% statutory rate for the third quarter of 2024 primarily due to permanent differences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book and tax restricted stock expense based on a decrease in our stock price between the restricted stock grant and vesting dates and the discrete impact of life insurance proceeds received in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p>
      <w:pPr>
        <w:spacing w:after="0" w:line="119" w:lineRule="exact"/>
        <w:rPr>
          <w:sz w:val="20"/>
          <w:szCs w:val="20"/>
          <w:color w:val="auto"/>
        </w:rPr>
      </w:pPr>
    </w:p>
    <w:p>
      <w:pPr>
        <w:ind w:right="1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for the nine months ended September 30, 2024 were higher than revenues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due to higher average AUM.</w:t>
      </w:r>
    </w:p>
    <w:p>
      <w:pPr>
        <w:spacing w:after="0" w:line="50"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for the nine months ended September 30, 2024 increased $1.4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nine months ended September 30, 2023 primarily due to higher incentive compensation following increased AUM balances and additional headcount.</w:t>
      </w:r>
    </w:p>
    <w:p>
      <w:pPr>
        <w:spacing w:after="0" w:line="65" w:lineRule="exact"/>
        <w:rPr>
          <w:sz w:val="20"/>
          <w:szCs w:val="20"/>
          <w:color w:val="auto"/>
        </w:rPr>
      </w:pPr>
    </w:p>
    <w:p>
      <w:pPr>
        <w:ind w:right="3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Professional services nine months ended September 30, 2024 increased $0.8 million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higher consulting costs related to our MIS capability.</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(Gain) loss from change in fair value of contingent consideration. </w:t>
      </w:r>
      <w:r>
        <w:rPr>
          <w:rFonts w:ascii="Times New Roman" w:cs="Times New Roman" w:eastAsia="Times New Roman" w:hAnsi="Times New Roman"/>
          <w:sz w:val="18"/>
          <w:szCs w:val="18"/>
          <w:color w:val="auto"/>
        </w:rPr>
        <w:t>We recorded a loss of $3.7 million upon the</w:t>
      </w:r>
    </w:p>
    <w:p>
      <w:pPr>
        <w:spacing w:after="0" w:line="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remeasurement of contingent consideration of the Salient Acquisition primarily due to positive changes in growth projections following asset appreciation in the period and revised asset flow expectations.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decreased due to the receipt of life insurance proceeds of $5.0 million in the third quarter of 2023.</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Net investment income. </w:t>
      </w:r>
      <w:r>
        <w:rPr>
          <w:rFonts w:ascii="Times New Roman" w:cs="Times New Roman" w:eastAsia="Times New Roman" w:hAnsi="Times New Roman"/>
          <w:sz w:val="18"/>
          <w:szCs w:val="18"/>
          <w:color w:val="auto"/>
        </w:rPr>
        <w:t>Net investment income increased primarily due to additional interest income in the period.</w:t>
      </w:r>
    </w:p>
    <w:p>
      <w:pPr>
        <w:spacing w:after="0" w:line="117" w:lineRule="exact"/>
        <w:rPr>
          <w:sz w:val="20"/>
          <w:szCs w:val="20"/>
          <w:color w:val="auto"/>
        </w:rPr>
      </w:pPr>
    </w:p>
    <w:p>
      <w:pPr>
        <w:jc w:val="both"/>
        <w:ind w:right="1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Income tax provision</w:t>
      </w:r>
      <w:r>
        <w:rPr>
          <w:rFonts w:ascii="Times New Roman" w:cs="Times New Roman" w:eastAsia="Times New Roman" w:hAnsi="Times New Roman"/>
          <w:sz w:val="18"/>
          <w:szCs w:val="18"/>
          <w:color w:val="auto"/>
        </w:rPr>
        <w:t>. Our effective tax rate for the nine months ended September 30, 2024 differed from the 21% statutory rate for 2024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permanent differences between book and tax restricted stock expense based on a decrease in our stock price between the restricted stock grant and vesting dates and the discrete impact of life insurance proceeds received in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Financial Information</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supplemental information, we are providing non-GAAP performance measures that we refer to as Economic Earnings and Economic EPS. We provide these measures in addition to, not as a substitute for, comprehensive income attributable to Westwood Holdings Group, Inc.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comprehensive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81" w:lineRule="exact"/>
        <w:rPr>
          <w:sz w:val="20"/>
          <w:szCs w:val="20"/>
          <w:color w:val="auto"/>
        </w:rPr>
      </w:pPr>
    </w:p>
    <w:p>
      <w:pPr>
        <w:jc w:val="both"/>
        <w:ind w:right="120" w:firstLine="486"/>
        <w:spacing w:after="0" w:line="255" w:lineRule="auto"/>
        <w:rPr>
          <w:sz w:val="20"/>
          <w:szCs w:val="20"/>
          <w:color w:val="auto"/>
        </w:rPr>
      </w:pPr>
      <w:r>
        <w:rPr>
          <w:rFonts w:ascii="Times New Roman" w:cs="Times New Roman" w:eastAsia="Times New Roman" w:hAnsi="Times New Roman"/>
          <w:sz w:val="18"/>
          <w:szCs w:val="18"/>
          <w:color w:val="auto"/>
        </w:rPr>
        <w:t>We define Economic Earnings as comprehensive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spacing w:after="0" w:line="81" w:lineRule="exact"/>
        <w:rPr>
          <w:sz w:val="20"/>
          <w:szCs w:val="20"/>
          <w:color w:val="auto"/>
        </w:rPr>
      </w:pPr>
    </w:p>
    <w:p>
      <w:pPr>
        <w:jc w:val="both"/>
        <w:ind w:right="20" w:firstLine="486"/>
        <w:spacing w:after="0" w:line="312" w:lineRule="auto"/>
        <w:rPr>
          <w:sz w:val="20"/>
          <w:szCs w:val="20"/>
          <w:color w:val="auto"/>
        </w:rPr>
      </w:pPr>
      <w:r>
        <w:rPr>
          <w:rFonts w:ascii="Times New Roman" w:cs="Times New Roman" w:eastAsia="Times New Roman" w:hAnsi="Times New Roman"/>
          <w:sz w:val="17"/>
          <w:szCs w:val="17"/>
          <w:color w:val="auto"/>
        </w:rPr>
        <w:t>The following tables (in thousands, except share and per share amounts) provide a reconciliation of comprehensive income attributable to Westwood Holdings Group, Inc. to Economic Earnings and Economic Earnings by segment. We have included the tax impact of adjustments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4"/>
        </w:trPr>
        <w:tc>
          <w:tcPr>
            <w:tcW w:w="4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5"/>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1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59"/>
        </w:trPr>
        <w:tc>
          <w:tcPr>
            <w:tcW w:w="448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Comprehensive income attributable to Westwood</w:t>
            </w: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Holdings Group,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2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benefit from goodwill amortization</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17</w:t>
            </w:r>
          </w:p>
        </w:tc>
      </w:tr>
      <w:tr>
        <w:trPr>
          <w:trHeight w:val="176"/>
        </w:trPr>
        <w:tc>
          <w:tcPr>
            <w:tcW w:w="4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impacts of adjustments to GAAP comprehensive</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amortization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benefit from goodwill amortization</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impacts of adjustments to GAAP comprehensive</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8,488,372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8,116,747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8,448,629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8,072,739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70"/>
        </w:trPr>
        <w:tc>
          <w:tcPr>
            <w:tcW w:w="4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by Segment: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Advisory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11 %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Westwood Holdings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2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20" w:type="dxa"/>
            <w:vAlign w:val="bottom"/>
            <w:tcBorders>
              <w:bottom w:val="single" w:sz="8" w:color="CCEEFF"/>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2,811</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and cash requirements with cash generated from operating activities. We may also use cash from operations to pay dividends to our stockholders or for deferred contingent consideration payments. We had no debt as of September 30, 2024 and December 31, 2023.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had cash and short-term investments of $48.3 million and $53.1 million as of September 30, 2024 and December 31, 2023, respectively. At September 30, 2024 and December 31, 2023, working capital aggregated $52.5 million and $53.6 million, respectively.</w:t>
      </w:r>
    </w:p>
    <w:p>
      <w:pPr>
        <w:spacing w:after="0" w:line="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cash flow provided by operating activities was $12.2 million, which included net sales of current investments of $6.3 million and a reduction in compensation and benefits payable of $1.3 million. During the nine months ended September 30, 2023, cash flow used in operating activities was $5.7 million, which included net purchases of current investments of $15.6 million and a reduction in compensation and benefits payable of $1.4 million.</w:t>
      </w:r>
    </w:p>
    <w:p>
      <w:pPr>
        <w:spacing w:after="0" w:line="72"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Cash flow used in investing activities during the nine months ended September 30, 2024 was related to the purchase of investments. Cash flow provided by investing activities during the nine months ended September 30, 2023 was primarily due to the receipt of life insurance proceeds, offset by cash for the Broadmark Acquisition.</w:t>
      </w:r>
    </w:p>
    <w:p>
      <w:pPr>
        <w:spacing w:after="0" w:line="6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Cash flows used in financing activities of $8.3 million for the nine months ended September 30, 2024 reflected the payment of dividends, deferred contingent consideration payments, purchases of treasury stock and restricted stock returned for the payment of taxes. Cash flows used in financing activities of $5.1 million for the nine months ended September 30, 2023 reflected the payment of dividends and restricted stock returned for the payment of taxes.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8" w:name="page29"/>
    <w:bookmarkEnd w:id="28"/>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September 30, 2024, Westwood Trust had approximately $12.3 million in excess of its minimum capital requirement.</w:t>
      </w:r>
    </w:p>
    <w:p>
      <w:pPr>
        <w:spacing w:after="0" w:line="6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2023.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significant changes in our critical or significant accounting policies and estimates since December 31, 2023.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in our Condensed Consolidated Financial Statements included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on Form 10-Q for a description of recently issued accounting guidance.</w:t>
      </w:r>
    </w:p>
    <w:p>
      <w:pPr>
        <w:spacing w:after="0" w:line="3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Quantitative and Qualitative Disclosures about Market Risk from those previously reported in our Annual Report on Form 10-K for the year ended December 31, 2023.</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there were no changes in our internal controls over financial reporting (as defined in Rule 13a-15(f) under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2023 and the risks set forth below.</w:t>
      </w:r>
    </w:p>
    <w:p>
      <w:pPr>
        <w:spacing w:after="0" w:line="7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share repurchase program has no expiration date and may be discontinued at any time by the Board of Directors. Between July 1, 2024 and September 30, 2024, under the share repurchase program, the Company repurchased 21,879 shares of our common stock at an average price of $12.50 per share, including commissions, for an aggregate purchase price of $0.3 million.</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the treasury shares we purchased during the three months ended September 30,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16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Maximum number (or</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900" w:type="dxa"/>
            <w:vAlign w:val="bottom"/>
            <w:gridSpan w:val="3"/>
          </w:tcPr>
          <w:p>
            <w:pPr>
              <w:jc w:val="center"/>
              <w:ind w:right="23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216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2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900" w:type="dxa"/>
            <w:vAlign w:val="bottom"/>
            <w:gridSpan w:val="3"/>
          </w:tcPr>
          <w:p>
            <w:pPr>
              <w:jc w:val="center"/>
              <w:ind w:right="21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2160" w:type="dxa"/>
            <w:vAlign w:val="bottom"/>
          </w:tcPr>
          <w:p>
            <w:pPr>
              <w:jc w:val="center"/>
              <w:ind w:right="116"/>
              <w:spacing w:after="0" w:line="162" w:lineRule="exact"/>
              <w:rPr>
                <w:sz w:val="20"/>
                <w:szCs w:val="20"/>
                <w:color w:val="auto"/>
              </w:rPr>
            </w:pPr>
            <w:r>
              <w:rPr>
                <w:rFonts w:ascii="Times New Roman" w:cs="Times New Roman" w:eastAsia="Times New Roman" w:hAnsi="Times New Roman"/>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2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900" w:type="dxa"/>
            <w:vAlign w:val="bottom"/>
            <w:gridSpan w:val="3"/>
          </w:tcPr>
          <w:p>
            <w:pPr>
              <w:jc w:val="center"/>
              <w:ind w:right="210"/>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2160" w:type="dxa"/>
            <w:vAlign w:val="bottom"/>
          </w:tcPr>
          <w:p>
            <w:pPr>
              <w:jc w:val="center"/>
              <w:ind w:right="96"/>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90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216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plans or programs (1)</w:t>
            </w:r>
          </w:p>
        </w:tc>
        <w:tc>
          <w:tcPr>
            <w:tcW w:w="0" w:type="dxa"/>
            <w:vAlign w:val="bottom"/>
          </w:tcPr>
          <w:p>
            <w:pPr>
              <w:spacing w:after="0"/>
              <w:rPr>
                <w:sz w:val="1"/>
                <w:szCs w:val="1"/>
                <w:color w:val="auto"/>
              </w:rPr>
            </w:pPr>
          </w:p>
        </w:tc>
      </w:tr>
      <w:tr>
        <w:trPr>
          <w:trHeight w:val="225"/>
        </w:trPr>
        <w:tc>
          <w:tcPr>
            <w:tcW w:w="464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Repurchase program </w:t>
            </w:r>
            <w:r>
              <w:rPr>
                <w:rFonts w:ascii="Times New Roman" w:cs="Times New Roman" w:eastAsia="Times New Roman" w:hAnsi="Times New Roman"/>
                <w:sz w:val="23"/>
                <w:szCs w:val="23"/>
                <w:color w:val="auto"/>
                <w:vertAlign w:val="superscript"/>
              </w:rPr>
              <w:t>(1)</w:t>
            </w: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July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August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900" w:hanging="892"/>
        <w:spacing w:after="0"/>
        <w:tabs>
          <w:tab w:leader="none" w:pos="9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These purchases relate to the share repurchase program and were authorized in April 2020.</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6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tcPr>
          <w:p>
            <w:pPr>
              <w:spacing w:after="0"/>
              <w:rPr>
                <w:sz w:val="24"/>
                <w:szCs w:val="24"/>
                <w:color w:val="auto"/>
              </w:rPr>
            </w:pPr>
          </w:p>
        </w:tc>
        <w:tc>
          <w:tcPr>
            <w:tcW w:w="6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Securities Exchange Act Rule 13a-14(a)</w:t>
            </w:r>
          </w:p>
        </w:tc>
        <w:tc>
          <w:tcPr>
            <w:tcW w:w="1480" w:type="dxa"/>
            <w:vAlign w:val="bottom"/>
            <w:gridSpan w:val="3"/>
          </w:tcPr>
          <w:p>
            <w:pPr>
              <w:spacing w:after="0"/>
              <w:rPr>
                <w:sz w:val="24"/>
                <w:szCs w:val="24"/>
                <w:color w:val="auto"/>
              </w:rPr>
            </w:pPr>
          </w:p>
        </w:tc>
      </w:tr>
      <w:tr>
        <w:trPr>
          <w:trHeight w:val="42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 13a-14(a)</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w:t>
            </w: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6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w:t>
            </w:r>
          </w:p>
        </w:tc>
      </w:tr>
      <w:tr>
        <w:trPr>
          <w:trHeight w:val="156"/>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5580" w:type="dxa"/>
            <w:vAlign w:val="bottom"/>
            <w:tcBorders>
              <w:top w:val="single" w:sz="8" w:color="0000FF"/>
            </w:tcBorders>
            <w:gridSpan w:val="3"/>
          </w:tcPr>
          <w:p>
            <w:pPr>
              <w:spacing w:after="0"/>
              <w:rPr>
                <w:sz w:val="13"/>
                <w:szCs w:val="13"/>
                <w:color w:val="auto"/>
              </w:rPr>
            </w:pPr>
          </w:p>
        </w:tc>
        <w:tc>
          <w:tcPr>
            <w:tcW w:w="60" w:type="dxa"/>
            <w:vAlign w:val="bottom"/>
            <w:gridSpan w:val="2"/>
          </w:tcPr>
          <w:p>
            <w:pPr>
              <w:spacing w:after="0"/>
              <w:rPr>
                <w:sz w:val="13"/>
                <w:szCs w:val="13"/>
                <w:color w:val="auto"/>
              </w:rPr>
            </w:pPr>
          </w:p>
        </w:tc>
      </w:tr>
      <w:tr>
        <w:trPr>
          <w:trHeight w:val="425"/>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financial information from Westwood Holdings Group, Inc.'s Quarterly Report on Form 10-Q for</w:t>
            </w:r>
          </w:p>
        </w:tc>
      </w:tr>
      <w:tr>
        <w:trPr>
          <w:trHeight w:val="184"/>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 period ended September 30, 2024, formatted in Inline eXtensible Business Reporting Language (iXBRL): (i)</w:t>
            </w:r>
          </w:p>
        </w:tc>
      </w:tr>
      <w:tr>
        <w:trPr>
          <w:trHeight w:val="180"/>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Condensed Consolidated Balance Sheets as of September 30, 2024 and December 31, 2023; (ii) Condensed</w:t>
            </w:r>
          </w:p>
        </w:tc>
      </w:tr>
      <w:tr>
        <w:trPr>
          <w:trHeight w:val="175"/>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w w:val="99"/>
              </w:rPr>
              <w:t>Consolidated Statements of Comprehensive Income for the three and nine months ended September 30, 2024 and</w:t>
            </w:r>
          </w:p>
        </w:tc>
      </w:tr>
      <w:tr>
        <w:trPr>
          <w:trHeight w:val="184"/>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16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w w:val="99"/>
              </w:rPr>
              <w:t>2023; (iii) Condensed Consolidated Statements of Stockholders' Equity; (iv) Condensed Consolidated Statements</w:t>
            </w:r>
          </w:p>
        </w:tc>
      </w:tr>
      <w:tr>
        <w:trPr>
          <w:trHeight w:val="180"/>
        </w:trPr>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6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of Cash Flows for the nine months ended September 30, 2024 and 2023; and (v) Notes to the Condensed</w:t>
            </w:r>
          </w:p>
        </w:tc>
      </w:t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441"/>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r>
    </w:tbl>
    <w:p>
      <w:pPr>
        <w:spacing w:after="0" w:line="29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1" w:name="page32"/>
    <w:bookmarkEnd w:id="31"/>
    <w:p>
      <w:pPr>
        <w:jc w:val="center"/>
        <w:ind w:right="-4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30, 2024</w:t>
            </w:r>
          </w:p>
        </w:tc>
        <w:tc>
          <w:tcPr>
            <w:tcW w:w="59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486"/>
        </w:trPr>
        <w:tc>
          <w:tcPr>
            <w:tcW w:w="346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18"/>
        </w:trPr>
        <w:tc>
          <w:tcPr>
            <w:tcW w:w="3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34"/>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5"/>
        </w:trPr>
        <w:tc>
          <w:tcPr>
            <w:tcW w:w="346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Murray Forbes III</w:t>
            </w:r>
          </w:p>
        </w:tc>
      </w:tr>
      <w:tr>
        <w:trPr>
          <w:trHeight w:val="218"/>
        </w:trPr>
        <w:tc>
          <w:tcPr>
            <w:tcW w:w="3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Murray Forbes III</w:t>
            </w:r>
          </w:p>
        </w:tc>
      </w:tr>
      <w:tr>
        <w:trPr>
          <w:trHeight w:val="234"/>
        </w:trPr>
        <w:tc>
          <w:tcPr>
            <w:tcW w:w="34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60"/>
          </w:cols>
          <w:pgMar w:left="320" w:top="1093" w:right="819" w:bottom="1440" w:gutter="0" w:footer="0" w:header="0"/>
        </w:sectPr>
      </w:pPr>
    </w:p>
    <w:bookmarkStart w:id="32" w:name="page33"/>
    <w:bookmarkEnd w:id="32"/>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Brian O. Casey,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20" w:hanging="328"/>
        <w:spacing w:after="0" w:line="29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October 30, 2024</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440" w:right="339" w:bottom="1440" w:gutter="0" w:footer="0" w:header="0"/>
        </w:sectPr>
      </w:pPr>
    </w:p>
    <w:bookmarkStart w:id="33" w:name="page34"/>
    <w:bookmarkEnd w:id="33"/>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5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7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Murray Forbes III,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Westwood Holdings Group, Inc.;</w:t>
      </w:r>
    </w:p>
    <w:p>
      <w:pPr>
        <w:spacing w:after="0" w:line="113"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6"/>
          <w:szCs w:val="16"/>
          <w:color w:val="auto"/>
        </w:rPr>
      </w:pPr>
    </w:p>
    <w:p>
      <w:pPr>
        <w:ind w:left="660" w:right="200" w:hanging="328"/>
        <w:spacing w:after="0" w:line="272"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ind w:left="1300" w:right="300" w:hanging="320"/>
        <w:spacing w:after="0" w:line="272" w:lineRule="auto"/>
        <w:tabs>
          <w:tab w:leader="none" w:pos="129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300" w:right="100" w:hanging="320"/>
        <w:spacing w:after="0" w:line="272" w:lineRule="auto"/>
        <w:tabs>
          <w:tab w:leader="none" w:pos="130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300" w:right="160" w:hanging="320"/>
        <w:spacing w:after="0" w:line="298" w:lineRule="auto"/>
        <w:tabs>
          <w:tab w:leader="none" w:pos="129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6"/>
          <w:szCs w:val="16"/>
          <w:color w:val="auto"/>
        </w:rPr>
      </w:pPr>
    </w:p>
    <w:p>
      <w:pPr>
        <w:ind w:left="1300" w:right="180" w:hanging="320"/>
        <w:spacing w:after="0" w:line="272" w:lineRule="auto"/>
        <w:tabs>
          <w:tab w:leader="none" w:pos="130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660" w:right="180" w:hanging="328"/>
        <w:spacing w:after="0" w:line="298" w:lineRule="auto"/>
        <w:tabs>
          <w:tab w:leader="none" w:pos="61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6"/>
          <w:szCs w:val="16"/>
          <w:color w:val="auto"/>
        </w:rPr>
      </w:pPr>
    </w:p>
    <w:p>
      <w:pPr>
        <w:ind w:left="1300" w:right="140" w:hanging="320"/>
        <w:spacing w:after="0" w:line="298" w:lineRule="auto"/>
        <w:tabs>
          <w:tab w:leader="none" w:pos="124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251"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October 30, 2024</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right="380"/>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September 30, 2024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U.S.C.78m or 78o(d)); and</w:t>
      </w:r>
    </w:p>
    <w:p>
      <w:pPr>
        <w:spacing w:after="0" w:line="126"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October 30, 2024</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Brian O. Casey</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Westwood Holdings Group, Inc. (the “Company”) on Form 10-Q for the period ended September 30, 2024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63" w:lineRule="exact"/>
        <w:rPr>
          <w:sz w:val="20"/>
          <w:szCs w:val="20"/>
          <w:color w:val="auto"/>
        </w:rPr>
      </w:pPr>
    </w:p>
    <w:p>
      <w:pPr>
        <w:ind w:left="720" w:hanging="226"/>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(15 U.S.C. 78m or 78o(d)); and</w:t>
      </w:r>
    </w:p>
    <w:p>
      <w:pPr>
        <w:spacing w:after="0" w:line="126"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Dated: October 30, 2024</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30429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Murray Forbes III</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pacing w:after="0" w:line="329"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0"/>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2024-10-30T15:43:43Z</dcterms:created>
  <dcterms:modified xsi:type="dcterms:W3CDTF">2024-10-30T15:43:43Z</dcterms:modified>
</cp:coreProperties>
</file>