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INFORMATION TO BE INCLUDED IN STATEMENTS FILED PURSUANT</w:t>
      </w:r>
    </w:p>
    <w:p>
      <w:pPr>
        <w:ind w:left="216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720" w:right="4700" w:firstLine="262"/>
        <w:spacing w:after="0" w:line="498" w:lineRule="auto"/>
        <w:tabs>
          <w:tab w:leader="none" w:pos="51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2)</w:t>
      </w:r>
      <w:r>
        <w:rPr>
          <w:rFonts w:ascii="Arial" w:cs="Arial" w:eastAsia="Arial" w:hAnsi="Arial"/>
          <w:sz w:val="10"/>
          <w:szCs w:val="10"/>
          <w:color w:val="auto"/>
        </w:rPr>
        <w:t>1</w:t>
      </w:r>
    </w:p>
    <w:p>
      <w:pPr>
        <w:jc w:val="center"/>
        <w:ind w:right="-19"/>
        <w:spacing w:after="0"/>
        <w:rPr>
          <w:sz w:val="20"/>
          <w:szCs w:val="20"/>
          <w:color w:val="auto"/>
        </w:rPr>
      </w:pPr>
      <w:r>
        <w:rPr>
          <w:rFonts w:ascii="Arial" w:cs="Arial" w:eastAsia="Arial" w:hAnsi="Arial"/>
          <w:sz w:val="18"/>
          <w:szCs w:val="18"/>
          <w:u w:val="single" w:color="auto"/>
          <w:color w:val="auto"/>
        </w:rPr>
        <w:t>Westwood Holdings Group, Inc.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$0.01 par value per share</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961765104</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JAMES C. PAPPAS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JCP INVESTMENT MANAGEMENT,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1177 West Loop South, Suite 1320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Houston, TX 77027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(713) 333-5540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STEVE WOLOSKY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RYAN NEBEL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(212) 451-2300</w:t>
      </w:r>
    </w:p>
    <w:p>
      <w:pPr>
        <w:jc w:val="center"/>
        <w:ind w:right="-19"/>
        <w:spacing w:after="0" w:line="235"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January 5, 2022</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both"/>
        <w:ind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961765104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JCP Investment Partnership, LP</w:t>
            </w:r>
          </w:p>
        </w:tc>
        <w:tc>
          <w:tcPr>
            <w:tcW w:w="118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412,925</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412,925</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412,925</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2</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961765104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144145</wp:posOffset>
            </wp:positionV>
            <wp:extent cx="35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JCP Asset Partnership VI, LP</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6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gridSpan w:val="2"/>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60" w:type="dxa"/>
            <w:vAlign w:val="bottom"/>
            <w:gridSpan w:val="3"/>
          </w:tcPr>
          <w:p>
            <w:pPr>
              <w:ind w:left="14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gridSpan w:val="2"/>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0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430,214</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430,214</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430,214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-5332095</wp:posOffset>
            </wp:positionV>
            <wp:extent cx="351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961765104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JCP Investment Partners, LP</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843,139</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843,139</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843,139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10.2%</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961765104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JCP Investment Holdings,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843,139</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843,139</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843,139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10.2%</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5</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961765104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8700" w:type="dxa"/>
            <w:vAlign w:val="bottom"/>
          </w:tcPr>
          <w:p>
            <w:pPr>
              <w:ind w:left="480"/>
              <w:spacing w:after="0"/>
              <w:rPr>
                <w:sz w:val="20"/>
                <w:szCs w:val="20"/>
                <w:color w:val="auto"/>
              </w:rPr>
            </w:pPr>
            <w:r>
              <w:rPr>
                <w:rFonts w:ascii="Arial" w:cs="Arial" w:eastAsia="Arial" w:hAnsi="Arial"/>
                <w:sz w:val="18"/>
                <w:szCs w:val="18"/>
                <w:color w:val="auto"/>
              </w:rPr>
              <w:t>NAME OF REPORTING PERSON</w:t>
            </w:r>
          </w:p>
        </w:tc>
        <w:tc>
          <w:tcPr>
            <w:tcW w:w="1180" w:type="dxa"/>
            <w:vAlign w:val="bottom"/>
          </w:tcPr>
          <w:p>
            <w:pPr>
              <w:spacing w:after="0"/>
              <w:rPr>
                <w:sz w:val="20"/>
                <w:szCs w:val="20"/>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JCP Investment Management, LLC</w:t>
            </w:r>
          </w:p>
        </w:tc>
        <w:tc>
          <w:tcPr>
            <w:tcW w:w="1180" w:type="dxa"/>
            <w:vAlign w:val="bottom"/>
            <w:tcBorders>
              <w:bottom w:val="single" w:sz="8" w:color="auto"/>
            </w:tcBorders>
          </w:tcPr>
          <w:p>
            <w:pPr>
              <w:spacing w:after="0"/>
              <w:rPr>
                <w:sz w:val="24"/>
                <w:szCs w:val="24"/>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870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1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360" w:type="dxa"/>
            <w:vAlign w:val="bottom"/>
            <w:tcBorders>
              <w:bottom w:val="single" w:sz="8" w:color="auto"/>
            </w:tcBorders>
          </w:tcPr>
          <w:p>
            <w:pPr>
              <w:spacing w:after="0"/>
              <w:rPr>
                <w:sz w:val="17"/>
                <w:szCs w:val="17"/>
                <w:color w:val="auto"/>
              </w:rPr>
            </w:pPr>
          </w:p>
        </w:tc>
        <w:tc>
          <w:tcPr>
            <w:tcW w:w="8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8700" w:type="dxa"/>
            <w:vAlign w:val="bottom"/>
          </w:tcPr>
          <w:p>
            <w:pPr>
              <w:ind w:left="480"/>
              <w:spacing w:after="0"/>
              <w:rPr>
                <w:sz w:val="20"/>
                <w:szCs w:val="20"/>
                <w:color w:val="auto"/>
              </w:rPr>
            </w:pPr>
            <w:r>
              <w:rPr>
                <w:rFonts w:ascii="Arial" w:cs="Arial" w:eastAsia="Arial" w:hAnsi="Arial"/>
                <w:sz w:val="18"/>
                <w:szCs w:val="18"/>
                <w:color w:val="auto"/>
              </w:rPr>
              <w:t>SEC USE ONLY</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4</w:t>
            </w:r>
          </w:p>
        </w:tc>
        <w:tc>
          <w:tcPr>
            <w:tcW w:w="8700" w:type="dxa"/>
            <w:vAlign w:val="bottom"/>
          </w:tcPr>
          <w:p>
            <w:pPr>
              <w:ind w:left="480"/>
              <w:spacing w:after="0"/>
              <w:rPr>
                <w:sz w:val="20"/>
                <w:szCs w:val="20"/>
                <w:color w:val="auto"/>
              </w:rPr>
            </w:pPr>
            <w:r>
              <w:rPr>
                <w:rFonts w:ascii="Arial" w:cs="Arial" w:eastAsia="Arial" w:hAnsi="Arial"/>
                <w:sz w:val="18"/>
                <w:szCs w:val="18"/>
                <w:color w:val="auto"/>
              </w:rPr>
              <w:t>SOURCE OF FUNDS</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AF, OO</w:t>
            </w:r>
          </w:p>
        </w:tc>
        <w:tc>
          <w:tcPr>
            <w:tcW w:w="1180" w:type="dxa"/>
            <w:vAlign w:val="bottom"/>
            <w:tcBorders>
              <w:bottom w:val="single" w:sz="8" w:color="auto"/>
            </w:tcBorders>
          </w:tcPr>
          <w:p>
            <w:pPr>
              <w:spacing w:after="0"/>
              <w:rPr>
                <w:sz w:val="24"/>
                <w:szCs w:val="24"/>
                <w:color w:val="auto"/>
              </w:rPr>
            </w:pPr>
          </w:p>
        </w:tc>
      </w:tr>
      <w:tr>
        <w:trPr>
          <w:trHeight w:val="195"/>
        </w:trPr>
        <w:tc>
          <w:tcPr>
            <w:tcW w:w="13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5</w:t>
            </w:r>
          </w:p>
        </w:tc>
        <w:tc>
          <w:tcPr>
            <w:tcW w:w="8700" w:type="dxa"/>
            <w:vAlign w:val="bottom"/>
          </w:tcPr>
          <w:p>
            <w:pPr>
              <w:ind w:left="4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36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Arial" w:cs="Arial" w:eastAsia="Arial" w:hAnsi="Arial"/>
                <w:sz w:val="18"/>
                <w:szCs w:val="18"/>
                <w:color w:val="auto"/>
              </w:rPr>
              <w:t>2(e)</w:t>
            </w: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-1962785</wp:posOffset>
            </wp:positionV>
            <wp:extent cx="351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40" w:hanging="1026"/>
        <w:spacing w:after="0"/>
        <w:tabs>
          <w:tab w:leader="none" w:pos="1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TEXAS</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860,416</w:t>
            </w: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2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0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860,416</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860,416</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961765104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6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84"/>
              </w:rPr>
              <w:t>James C. Pappas</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56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5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6"/>
                <w:szCs w:val="16"/>
                <w:color w:val="auto"/>
              </w:rPr>
            </w:pPr>
          </w:p>
        </w:tc>
        <w:tc>
          <w:tcPr>
            <w:tcW w:w="656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860,416</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6"/>
                <w:szCs w:val="16"/>
                <w:color w:val="auto"/>
              </w:rPr>
            </w:pPr>
          </w:p>
        </w:tc>
        <w:tc>
          <w:tcPr>
            <w:tcW w:w="656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860,416</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860,416</w:t>
            </w: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7</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constitutes Amendment No. 2 to the Schedule 13D filed by the undersigned (“Amendment No. 2”). This Amendment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 amends the Schedule 13D as specifically set forth herein.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is hereby amended to add the following:</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Following the Issuer’s July 2021 press release announcing the rejection of a $25 per Share cash offer from Americana Partners, LLC to acquire the Issuer based on the Board’s purported belief that the offer significantly undervalues the Issuer relative to its standalone plan, the Reporting Persons privately wrote to the Board seeking an explanation how the Issuer’s standalone plan represents a better risk-adjusted path forward than $25 per Share in cash today. The private letter also called on the Board to release a three-year plan and outline the Issuer’s value creation plan for shareholders, or, alternatively, commence and disclose a robust strategic review process.</w:t>
      </w:r>
    </w:p>
    <w:p>
      <w:pPr>
        <w:spacing w:after="0" w:line="188"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Today, the Shares are trading at $16.87, which is nearly 33% less than the $25 per Share cash offer that the Board rejected. Given the Issuer’s continued underperformance under the stewardship of the current Board and management team, the Reporting Persons believe that the Issuer should immediately commence a strategic review process, including a possible sale of the company, as a means to maximize stockholder value.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5, 2022</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JCP Investment Partnership, LP</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JCP Investment Management, LLC</w:t>
            </w:r>
          </w:p>
        </w:tc>
      </w:tr>
      <w:tr>
        <w:trPr>
          <w:trHeight w:val="230"/>
        </w:trPr>
        <w:tc>
          <w:tcPr>
            <w:tcW w:w="6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Manager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C. Pappas</w:t>
            </w:r>
          </w:p>
        </w:tc>
      </w:tr>
      <w:tr>
        <w:trPr>
          <w:trHeight w:val="195"/>
        </w:trPr>
        <w:tc>
          <w:tcPr>
            <w:tcW w:w="6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8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80"/>
              <w:spacing w:after="0"/>
              <w:rPr>
                <w:sz w:val="20"/>
                <w:szCs w:val="20"/>
                <w:color w:val="auto"/>
              </w:rPr>
            </w:pPr>
            <w:r>
              <w:rPr>
                <w:rFonts w:ascii="Arial" w:cs="Arial" w:eastAsia="Arial" w:hAnsi="Arial"/>
                <w:sz w:val="18"/>
                <w:szCs w:val="18"/>
                <w:color w:val="auto"/>
              </w:rPr>
              <w:t>Managing Member</w:t>
            </w:r>
          </w:p>
        </w:tc>
      </w:tr>
      <w:tr>
        <w:trPr>
          <w:trHeight w:val="648"/>
        </w:trPr>
        <w:tc>
          <w:tcPr>
            <w:tcW w:w="5300" w:type="dxa"/>
            <w:vAlign w:val="bottom"/>
            <w:gridSpan w:val="3"/>
          </w:tcPr>
          <w:p>
            <w:pPr>
              <w:spacing w:after="0"/>
              <w:rPr>
                <w:sz w:val="20"/>
                <w:szCs w:val="20"/>
                <w:color w:val="auto"/>
              </w:rPr>
            </w:pPr>
            <w:r>
              <w:rPr>
                <w:rFonts w:ascii="Arial" w:cs="Arial" w:eastAsia="Arial" w:hAnsi="Arial"/>
                <w:sz w:val="18"/>
                <w:szCs w:val="18"/>
                <w:color w:val="auto"/>
              </w:rPr>
              <w:t>JCP Asset Partnership VI, LP</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JCP Investment Management, LLC</w:t>
            </w:r>
          </w:p>
        </w:tc>
      </w:tr>
      <w:tr>
        <w:trPr>
          <w:trHeight w:val="230"/>
        </w:trPr>
        <w:tc>
          <w:tcPr>
            <w:tcW w:w="6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Manager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C. Pappas</w:t>
            </w:r>
          </w:p>
        </w:tc>
      </w:tr>
      <w:tr>
        <w:trPr>
          <w:trHeight w:val="195"/>
        </w:trPr>
        <w:tc>
          <w:tcPr>
            <w:tcW w:w="6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8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80"/>
              <w:spacing w:after="0"/>
              <w:rPr>
                <w:sz w:val="20"/>
                <w:szCs w:val="20"/>
                <w:color w:val="auto"/>
              </w:rPr>
            </w:pPr>
            <w:r>
              <w:rPr>
                <w:rFonts w:ascii="Arial" w:cs="Arial" w:eastAsia="Arial" w:hAnsi="Arial"/>
                <w:sz w:val="18"/>
                <w:szCs w:val="18"/>
                <w:color w:val="auto"/>
              </w:rPr>
              <w:t>Managing Member</w:t>
            </w:r>
          </w:p>
        </w:tc>
      </w:tr>
      <w:tr>
        <w:trPr>
          <w:trHeight w:val="648"/>
        </w:trPr>
        <w:tc>
          <w:tcPr>
            <w:tcW w:w="5300" w:type="dxa"/>
            <w:vAlign w:val="bottom"/>
            <w:gridSpan w:val="3"/>
          </w:tcPr>
          <w:p>
            <w:pPr>
              <w:spacing w:after="0"/>
              <w:rPr>
                <w:sz w:val="20"/>
                <w:szCs w:val="20"/>
                <w:color w:val="auto"/>
              </w:rPr>
            </w:pPr>
            <w:r>
              <w:rPr>
                <w:rFonts w:ascii="Arial" w:cs="Arial" w:eastAsia="Arial" w:hAnsi="Arial"/>
                <w:sz w:val="18"/>
                <w:szCs w:val="18"/>
                <w:color w:val="auto"/>
              </w:rPr>
              <w:t>JCP Investment Partners, LP</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JCP Investment Holdings, LLC</w:t>
            </w:r>
          </w:p>
        </w:tc>
      </w:tr>
      <w:tr>
        <w:trPr>
          <w:trHeight w:val="230"/>
        </w:trPr>
        <w:tc>
          <w:tcPr>
            <w:tcW w:w="6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C. Pappas</w:t>
            </w:r>
          </w:p>
        </w:tc>
      </w:tr>
      <w:tr>
        <w:trPr>
          <w:trHeight w:val="195"/>
        </w:trPr>
        <w:tc>
          <w:tcPr>
            <w:tcW w:w="6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8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80"/>
              <w:spacing w:after="0"/>
              <w:rPr>
                <w:sz w:val="20"/>
                <w:szCs w:val="20"/>
                <w:color w:val="auto"/>
              </w:rPr>
            </w:pPr>
            <w:r>
              <w:rPr>
                <w:rFonts w:ascii="Arial" w:cs="Arial" w:eastAsia="Arial" w:hAnsi="Arial"/>
                <w:sz w:val="18"/>
                <w:szCs w:val="18"/>
                <w:color w:val="auto"/>
              </w:rPr>
              <w:t>Sole Member</w:t>
            </w:r>
          </w:p>
        </w:tc>
      </w:tr>
      <w:tr>
        <w:trPr>
          <w:trHeight w:val="648"/>
        </w:trPr>
        <w:tc>
          <w:tcPr>
            <w:tcW w:w="5300" w:type="dxa"/>
            <w:vAlign w:val="bottom"/>
            <w:gridSpan w:val="3"/>
          </w:tcPr>
          <w:p>
            <w:pPr>
              <w:spacing w:after="0"/>
              <w:rPr>
                <w:sz w:val="20"/>
                <w:szCs w:val="20"/>
                <w:color w:val="auto"/>
              </w:rPr>
            </w:pPr>
            <w:r>
              <w:rPr>
                <w:rFonts w:ascii="Arial" w:cs="Arial" w:eastAsia="Arial" w:hAnsi="Arial"/>
                <w:sz w:val="18"/>
                <w:szCs w:val="18"/>
                <w:color w:val="auto"/>
              </w:rPr>
              <w:t>JCP Investment Holdings, LLC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C. Pappas</w:t>
            </w:r>
          </w:p>
        </w:tc>
      </w:tr>
      <w:tr>
        <w:trPr>
          <w:trHeight w:val="195"/>
        </w:trPr>
        <w:tc>
          <w:tcPr>
            <w:tcW w:w="6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8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80"/>
              <w:spacing w:after="0"/>
              <w:rPr>
                <w:sz w:val="20"/>
                <w:szCs w:val="20"/>
                <w:color w:val="auto"/>
              </w:rPr>
            </w:pPr>
            <w:r>
              <w:rPr>
                <w:rFonts w:ascii="Arial" w:cs="Arial" w:eastAsia="Arial" w:hAnsi="Arial"/>
                <w:sz w:val="18"/>
                <w:szCs w:val="18"/>
                <w:color w:val="auto"/>
              </w:rPr>
              <w:t>Sole Member</w:t>
            </w:r>
          </w:p>
        </w:tc>
      </w:tr>
      <w:tr>
        <w:trPr>
          <w:trHeight w:val="648"/>
        </w:trPr>
        <w:tc>
          <w:tcPr>
            <w:tcW w:w="5300" w:type="dxa"/>
            <w:vAlign w:val="bottom"/>
            <w:gridSpan w:val="3"/>
          </w:tcPr>
          <w:p>
            <w:pPr>
              <w:spacing w:after="0"/>
              <w:rPr>
                <w:sz w:val="20"/>
                <w:szCs w:val="20"/>
                <w:color w:val="auto"/>
              </w:rPr>
            </w:pPr>
            <w:r>
              <w:rPr>
                <w:rFonts w:ascii="Arial" w:cs="Arial" w:eastAsia="Arial" w:hAnsi="Arial"/>
                <w:sz w:val="18"/>
                <w:szCs w:val="18"/>
                <w:color w:val="auto"/>
              </w:rPr>
              <w:t>JCP Investment Management, LLC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C. Pappas</w:t>
            </w:r>
          </w:p>
        </w:tc>
      </w:tr>
      <w:tr>
        <w:trPr>
          <w:trHeight w:val="195"/>
        </w:trPr>
        <w:tc>
          <w:tcPr>
            <w:tcW w:w="6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8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80"/>
              <w:spacing w:after="0"/>
              <w:rPr>
                <w:sz w:val="20"/>
                <w:szCs w:val="20"/>
                <w:color w:val="auto"/>
              </w:rPr>
            </w:pPr>
            <w:r>
              <w:rPr>
                <w:rFonts w:ascii="Arial" w:cs="Arial" w:eastAsia="Arial" w:hAnsi="Arial"/>
                <w:sz w:val="18"/>
                <w:szCs w:val="18"/>
                <w:color w:val="auto"/>
              </w:rPr>
              <w:t>Managing Member</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36830</wp:posOffset>
            </wp:positionV>
            <wp:extent cx="33686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James C. Pappas</w:t>
      </w:r>
    </w:p>
    <w:p>
      <w:pPr>
        <w:spacing w:after="0" w:line="3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2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1"/>
      <w:numFmt w:val="decimal"/>
      <w:start w:val="14"/>
    </w:lvl>
  </w:abstractNum>
  <w:abstractNum w:abstractNumId="3">
    <w:nsid w:val="238E1F29"/>
    <w:multiLevelType w:val="hybridMultilevel"/>
    <w:lvl w:ilvl="0">
      <w:lvlJc w:val="left"/>
      <w:lvlText w:val="6"/>
      <w:numFmt w:val="bullet"/>
      <w:start w:val="1"/>
    </w:lvl>
  </w:abstractNum>
  <w:abstractNum w:abstractNumId="4">
    <w:nsid w:val="46E87CCD"/>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2022-01-05T08:02:46Z</dcterms:created>
  <dcterms:modified xsi:type="dcterms:W3CDTF">2022-01-05T08:02:46Z</dcterms:modified>
</cp:coreProperties>
</file>