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1-31234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rPr/>
      </w:pPr>
      <w:r>
        <w:rPr>
          <w:rFonts w:ascii="Times New Roman;serif" w:hAnsi="Times New Roman;serif"/>
          <w:b/>
          <w:color w:val="000000"/>
          <w:sz w:val="40"/>
        </w:rPr>
        <w:t>WESTWOOD HOLDINGS GROUP,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7149"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75-2969997</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DALLAS,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75201</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(214) 756-6900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33" w:type="dxa"/>
        <w:jc w:val="center"/>
        <w:tblInd w:w="0" w:type="dxa"/>
        <w:tblLayout w:type="fixed"/>
        <w:tblCellMar>
          <w:top w:w="28" w:type="dxa"/>
          <w:left w:w="28" w:type="dxa"/>
          <w:bottom w:w="28" w:type="dxa"/>
          <w:right w:w="28" w:type="dxa"/>
        </w:tblCellMar>
      </w:tblPr>
      <w:tblGrid>
        <w:gridCol w:w="1092"/>
        <w:gridCol w:w="963"/>
        <w:gridCol w:w="975"/>
        <w:gridCol w:w="414"/>
        <w:gridCol w:w="414"/>
        <w:gridCol w:w="416"/>
        <w:gridCol w:w="983"/>
        <w:gridCol w:w="983"/>
        <w:gridCol w:w="1393"/>
      </w:tblGrid>
      <w:tr>
        <w:trPr/>
        <w:tc>
          <w:tcPr>
            <w:tcW w:w="10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WHG</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par value $0.01 per share, outstanding as of April 23, 2026: 9,487,978.</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WESTWOOD HOLDINGS GROUP, INC.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INDEX </w:t>
      </w:r>
    </w:p>
    <w:p>
      <w:pPr>
        <w:pStyle w:val="TextBody"/>
        <w:bidi w:val="0"/>
        <w:spacing w:lineRule="auto" w:line="288" w:before="0" w:after="0"/>
        <w:jc w:val="left"/>
        <w:rPr>
          <w:color w:val="000000"/>
        </w:rPr>
      </w:pPr>
      <w:r>
        <w:rPr>
          <w:color w:val="000000"/>
        </w:rPr>
        <w:t> </w:t>
      </w:r>
    </w:p>
    <w:tbl>
      <w:tblPr>
        <w:tblW w:w="8202" w:type="dxa"/>
        <w:jc w:val="left"/>
        <w:tblInd w:w="0" w:type="dxa"/>
        <w:tblLayout w:type="fixed"/>
        <w:tblCellMar>
          <w:top w:w="28" w:type="dxa"/>
          <w:left w:w="28" w:type="dxa"/>
          <w:bottom w:w="28" w:type="dxa"/>
          <w:right w:w="28" w:type="dxa"/>
        </w:tblCellMar>
      </w:tblPr>
      <w:tblGrid>
        <w:gridCol w:w="272"/>
        <w:gridCol w:w="238"/>
        <w:gridCol w:w="240"/>
        <w:gridCol w:w="109"/>
        <w:gridCol w:w="109"/>
        <w:gridCol w:w="109"/>
        <w:gridCol w:w="2163"/>
        <w:gridCol w:w="2163"/>
        <w:gridCol w:w="2168"/>
        <w:gridCol w:w="184"/>
        <w:gridCol w:w="184"/>
        <w:gridCol w:w="26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2a7f6d16a70d4ae19dc3ea0c5823833d_13">
              <w:r>
                <w:rPr>
                  <w:rStyle w:val="InternetLink"/>
                  <w:rFonts w:ascii="Times New Roman;serif" w:hAnsi="Times New Roman;serif"/>
                  <w:b w:val="false"/>
                  <w:color w:val="0000FF"/>
                  <w:sz w:val="18"/>
                  <w:u w:val="single"/>
                </w:rPr>
                <w:t>Condensed Consolidated Balance Sheets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3">
              <w:r>
                <w:rPr>
                  <w:rStyle w:val="InternetLink"/>
                  <w:rFonts w:ascii="Times New Roman;serif" w:hAnsi="Times New Roman;serif"/>
                  <w:b w:val="false"/>
                  <w:strike w:val="false"/>
                  <w:dstrike w:val="false"/>
                  <w:color w:val="0000FF"/>
                  <w:sz w:val="18"/>
                  <w:u w:val="none"/>
                  <w:effect w:val="none"/>
                </w:rPr>
                <w:t>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9">
              <w:r>
                <w:rPr>
                  <w:rStyle w:val="InternetLink"/>
                  <w:rFonts w:ascii="Times New Roman;serif" w:hAnsi="Times New Roman;serif"/>
                  <w:b w:val="false"/>
                  <w:color w:val="0000FF"/>
                  <w:sz w:val="18"/>
                  <w:u w:val="single"/>
                </w:rPr>
                <w:t>Condensed Consolidated Statements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9">
              <w:r>
                <w:rPr>
                  <w:rStyle w:val="InternetLink"/>
                  <w:rFonts w:ascii="Times New Roman;serif" w:hAnsi="Times New Roman;serif"/>
                  <w:b w:val="false"/>
                  <w:strike w:val="false"/>
                  <w:dstrike w:val="false"/>
                  <w:color w:val="0000FF"/>
                  <w:sz w:val="18"/>
                  <w:u w:val="none"/>
                  <w:effect w:val="none"/>
                </w:rPr>
                <w:t>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22">
              <w:r>
                <w:rPr>
                  <w:rStyle w:val="InternetLink"/>
                  <w:rFonts w:ascii="Times New Roman;serif" w:hAnsi="Times New Roman;serif"/>
                  <w:b w:val="false"/>
                  <w:color w:val="0000FF"/>
                  <w:sz w:val="18"/>
                  <w:u w:val="single"/>
                </w:rPr>
                <w:t>Condensed Consolidated Statements of Stockholders’ Equity</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22">
              <w:r>
                <w:rPr>
                  <w:rStyle w:val="InternetLink"/>
                  <w:rFonts w:ascii="Times New Roman;serif" w:hAnsi="Times New Roman;serif"/>
                  <w:b w:val="false"/>
                  <w:strike w:val="false"/>
                  <w:dstrike w:val="false"/>
                  <w:color w:val="0000FF"/>
                  <w:sz w:val="18"/>
                  <w:u w:val="none"/>
                  <w:effect w:val="none"/>
                </w:rPr>
                <w:t>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31">
              <w:r>
                <w:rPr>
                  <w:rStyle w:val="InternetLink"/>
                  <w:rFonts w:ascii="Times New Roman;serif" w:hAnsi="Times New Roman;serif"/>
                  <w:b w:val="false"/>
                  <w:color w:val="0000FF"/>
                  <w:sz w:val="18"/>
                  <w:u w:val="single"/>
                </w:rPr>
                <w:t>Condensed Consolidated Statements of Cash Flows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31">
              <w:r>
                <w:rPr>
                  <w:rStyle w:val="InternetLink"/>
                  <w:rFonts w:ascii="Times New Roman;serif" w:hAnsi="Times New Roman;serif"/>
                  <w:b w:val="false"/>
                  <w:strike w:val="false"/>
                  <w:dstrike w:val="false"/>
                  <w:color w:val="0000FF"/>
                  <w:sz w:val="18"/>
                  <w:u w:val="none"/>
                  <w:effect w:val="none"/>
                </w:rPr>
                <w:t>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34">
              <w:r>
                <w:rPr>
                  <w:rStyle w:val="InternetLink"/>
                  <w:rFonts w:ascii="Times New Roman;serif" w:hAnsi="Times New Roman;serif"/>
                  <w:b w:val="false"/>
                  <w:color w:val="0000FF"/>
                  <w:sz w:val="18"/>
                  <w:u w:val="single"/>
                </w:rPr>
                <w:t>Notes to Condensed Consolidated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34">
              <w:r>
                <w:rPr>
                  <w:rStyle w:val="InternetLink"/>
                  <w:rFonts w:ascii="Times New Roman;serif" w:hAnsi="Times New Roman;serif"/>
                  <w:b w:val="false"/>
                  <w:strike w:val="false"/>
                  <w:dstrike w:val="false"/>
                  <w:color w:val="0000FF"/>
                  <w:sz w:val="18"/>
                  <w:u w:val="none"/>
                  <w:effect w:val="none"/>
                </w:rPr>
                <w:t>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94">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94">
              <w:r>
                <w:rPr>
                  <w:rStyle w:val="InternetLink"/>
                  <w:rFonts w:ascii="Times New Roman;serif" w:hAnsi="Times New Roman;serif"/>
                  <w:b w:val="false"/>
                  <w:strike w:val="false"/>
                  <w:dstrike w:val="false"/>
                  <w:color w:val="0000FF"/>
                  <w:sz w:val="18"/>
                  <w:u w:val="none"/>
                  <w:effect w:val="none"/>
                </w:rPr>
                <w:t>15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39">
              <w:r>
                <w:rPr>
                  <w:rStyle w:val="InternetLink"/>
                  <w:rFonts w:ascii="Times New Roman;serif" w:hAnsi="Times New Roman;serif"/>
                  <w:b w:val="false"/>
                  <w:color w:val="0000FF"/>
                  <w:sz w:val="18"/>
                  <w:u w:val="singl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39">
              <w:r>
                <w:rPr>
                  <w:rStyle w:val="InternetLink"/>
                  <w:rFonts w:ascii="Times New Roman;serif" w:hAnsi="Times New Roman;serif"/>
                  <w:b w:val="false"/>
                  <w:strike w:val="false"/>
                  <w:dstrike w:val="false"/>
                  <w:color w:val="0000FF"/>
                  <w:sz w:val="18"/>
                  <w:u w:val="none"/>
                  <w:effect w:val="none"/>
                </w:rPr>
                <w:t>22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42">
              <w:r>
                <w:rPr>
                  <w:rStyle w:val="InternetLink"/>
                  <w:rFonts w:ascii="Times New Roman;serif" w:hAnsi="Times New Roman;serif"/>
                  <w:b w:val="false"/>
                  <w:color w:val="0000FF"/>
                  <w:sz w:val="18"/>
                  <w:u w:val="singl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42">
              <w:r>
                <w:rPr>
                  <w:rStyle w:val="InternetLink"/>
                  <w:rFonts w:ascii="Times New Roman;serif" w:hAnsi="Times New Roman;serif"/>
                  <w:b w:val="false"/>
                  <w:strike w:val="false"/>
                  <w:dstrike w:val="false"/>
                  <w:color w:val="0000FF"/>
                  <w:sz w:val="18"/>
                  <w:u w:val="none"/>
                  <w:effect w:val="none"/>
                </w:rPr>
                <w:t>22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45">
              <w:r>
                <w:rPr>
                  <w:rStyle w:val="InternetLink"/>
                  <w:rFonts w:ascii="Times New Roman;serif" w:hAnsi="Times New Roman;serif"/>
                  <w:b w:val="false"/>
                  <w:color w:val="0000FF"/>
                  <w:sz w:val="18"/>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45">
              <w:r>
                <w:rPr>
                  <w:rStyle w:val="InternetLink"/>
                  <w:rFonts w:ascii="Times New Roman;serif" w:hAnsi="Times New Roman;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48">
              <w:r>
                <w:rPr>
                  <w:rStyle w:val="InternetLink"/>
                  <w:rFonts w:ascii="Times New Roman;serif" w:hAnsi="Times New Roman;serif"/>
                  <w:b w:val="false"/>
                  <w:color w:val="0000FF"/>
                  <w:sz w:val="18"/>
                  <w:u w:val="singl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48">
              <w:r>
                <w:rPr>
                  <w:rStyle w:val="InternetLink"/>
                  <w:rFonts w:ascii="Times New Roman;serif" w:hAnsi="Times New Roman;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51">
              <w:r>
                <w:rPr>
                  <w:rStyle w:val="InternetLink"/>
                  <w:rFonts w:ascii="Times New Roman;serif" w:hAnsi="Times New Roman;serif"/>
                  <w:b w:val="false"/>
                  <w:color w:val="0000FF"/>
                  <w:sz w:val="18"/>
                  <w:u w:val="singl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51">
              <w:r>
                <w:rPr>
                  <w:rStyle w:val="InternetLink"/>
                  <w:rFonts w:ascii="Times New Roman;serif" w:hAnsi="Times New Roman;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54">
              <w:r>
                <w:rPr>
                  <w:rStyle w:val="InternetLink"/>
                  <w:rFonts w:ascii="Times New Roman;serif" w:hAnsi="Times New Roman;serif"/>
                  <w:b w:val="false"/>
                  <w:color w:val="0000FF"/>
                  <w:sz w:val="18"/>
                  <w:u w:val="singl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54">
              <w:r>
                <w:rPr>
                  <w:rStyle w:val="InternetLink"/>
                  <w:rFonts w:ascii="Times New Roman;serif" w:hAnsi="Times New Roman;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57">
              <w:r>
                <w:rPr>
                  <w:rStyle w:val="InternetLink"/>
                  <w:rFonts w:ascii="Times New Roman;serif" w:hAnsi="Times New Roman;serif"/>
                  <w:b w:val="false"/>
                  <w:color w:val="0000FF"/>
                  <w:sz w:val="18"/>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57">
              <w:r>
                <w:rPr>
                  <w:rStyle w:val="InternetLink"/>
                  <w:rFonts w:ascii="Times New Roman;serif" w:hAnsi="Times New Roman;serif"/>
                  <w:b w:val="false"/>
                  <w:strike w:val="false"/>
                  <w:dstrike w:val="false"/>
                  <w:color w:val="0000FF"/>
                  <w:sz w:val="18"/>
                  <w:u w:val="none"/>
                  <w:effect w:val="none"/>
                </w:rPr>
                <w:t>24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a7f6d16a70d4ae19dc3ea0c5823833d_160">
              <w:r>
                <w:rPr>
                  <w:rStyle w:val="InternetLink"/>
                  <w:rFonts w:ascii="Times New Roman;serif" w:hAnsi="Times New Roman;serif"/>
                  <w:b w:val="false"/>
                  <w:color w:val="0000FF"/>
                  <w:sz w:val="18"/>
                  <w:u w:val="single"/>
                </w:rPr>
                <w:t>Signatures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f6d16a70d4ae19dc3ea0c5823833d_160">
              <w:r>
                <w:rPr>
                  <w:rStyle w:val="InternetLink"/>
                  <w:rFonts w:ascii="Times New Roman;serif" w:hAnsi="Times New Roman;serif"/>
                  <w:b w:val="false"/>
                  <w:strike w:val="false"/>
                  <w:dstrike w:val="false"/>
                  <w:color w:val="0000FF"/>
                  <w:sz w:val="18"/>
                  <w:u w:val="none"/>
                  <w:effect w:val="none"/>
                </w:rPr>
                <w:t>25</w:t>
              </w:r>
            </w:hyperlink>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par value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0"/>
        <w:gridCol w:w="2245"/>
        <w:gridCol w:w="2271"/>
        <w:gridCol w:w="219"/>
        <w:gridCol w:w="823"/>
        <w:gridCol w:w="122"/>
        <w:gridCol w:w="109"/>
        <w:gridCol w:w="109"/>
        <w:gridCol w:w="109"/>
        <w:gridCol w:w="242"/>
        <w:gridCol w:w="911"/>
        <w:gridCol w:w="195"/>
      </w:tblGrid>
      <w:tr>
        <w:trPr/>
        <w:tc>
          <w:tcPr>
            <w:tcW w:w="285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at fair value (amortized cost of $14,426 and $19,923)</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under measurement alternative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method investments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18,199 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 of accumulated depreciation of $9,044 and $8,952</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payable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and benefits payable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35,575 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13)</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25,000,000 shares, issued 12,551,091 and 12,337,758, respectively and outstanding 9,487,973 and 9,394,066,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207,379 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at cost – 3,063,118 and 2,986,692 shares,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(89,612)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Westwood Holdings Group, Inc. stockholders’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125,615 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Noncontrolling interest in consolidated subsidiary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126,065 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126,723 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150,375 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7272" w:type="dxa"/>
        <w:jc w:val="left"/>
        <w:tblInd w:w="0" w:type="dxa"/>
        <w:tblLayout w:type="fixed"/>
        <w:tblCellMar>
          <w:top w:w="28" w:type="dxa"/>
          <w:left w:w="28" w:type="dxa"/>
          <w:bottom w:w="28" w:type="dxa"/>
          <w:right w:w="28" w:type="dxa"/>
        </w:tblCellMar>
      </w:tblPr>
      <w:tblGrid>
        <w:gridCol w:w="1592"/>
        <w:gridCol w:w="1397"/>
        <w:gridCol w:w="1405"/>
        <w:gridCol w:w="211"/>
        <w:gridCol w:w="695"/>
        <w:gridCol w:w="117"/>
        <w:gridCol w:w="117"/>
        <w:gridCol w:w="117"/>
        <w:gridCol w:w="117"/>
        <w:gridCol w:w="211"/>
        <w:gridCol w:w="695"/>
        <w:gridCol w:w="117"/>
        <w:gridCol w:w="109"/>
        <w:gridCol w:w="109"/>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loss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depreciation on private investments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(loss) attributable to noncontrolling interest</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8,498,350 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8,253,912 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8,781,743 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pPr>
      <w:r>
        <w:rPr>
          <w:rFonts w:ascii="Times New Roman;serif" w:hAnsi="Times New Roman;serif"/>
          <w:b/>
          <w:color w:val="000000"/>
          <w:sz w:val="20"/>
        </w:rPr>
        <w:t xml:space="preserve">For the </w:t>
      </w:r>
      <w:r>
        <w:rPr>
          <w:rFonts w:ascii="Times New Roman;serif" w:hAnsi="Times New Roman;serif"/>
          <w:b/>
          <w:color w:val="000000"/>
          <w:sz w:val="18"/>
        </w:rPr>
        <w:t>Three Months Ended</w:t>
      </w:r>
      <w:r>
        <w:rPr>
          <w:color w:val="000000"/>
        </w:rPr>
        <w:t xml:space="preserve"> </w:t>
      </w:r>
      <w:r>
        <w:rPr>
          <w:rFonts w:ascii="Times New Roman;serif" w:hAnsi="Times New Roman;serif"/>
          <w:b/>
          <w:color w:val="000000"/>
          <w:sz w:val="20"/>
        </w:rPr>
        <w:t xml:space="preserve">March 31,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2"/>
        <w:gridCol w:w="270"/>
        <w:gridCol w:w="271"/>
        <w:gridCol w:w="435"/>
        <w:gridCol w:w="436"/>
        <w:gridCol w:w="196"/>
        <w:gridCol w:w="109"/>
        <w:gridCol w:w="109"/>
        <w:gridCol w:w="109"/>
        <w:gridCol w:w="196"/>
        <w:gridCol w:w="422"/>
        <w:gridCol w:w="109"/>
        <w:gridCol w:w="109"/>
        <w:gridCol w:w="109"/>
        <w:gridCol w:w="109"/>
        <w:gridCol w:w="202"/>
        <w:gridCol w:w="758"/>
        <w:gridCol w:w="112"/>
        <w:gridCol w:w="109"/>
        <w:gridCol w:w="109"/>
        <w:gridCol w:w="109"/>
        <w:gridCol w:w="197"/>
        <w:gridCol w:w="667"/>
        <w:gridCol w:w="109"/>
        <w:gridCol w:w="109"/>
        <w:gridCol w:w="109"/>
        <w:gridCol w:w="109"/>
        <w:gridCol w:w="109"/>
        <w:gridCol w:w="109"/>
        <w:gridCol w:w="200"/>
        <w:gridCol w:w="567"/>
        <w:gridCol w:w="111"/>
        <w:gridCol w:w="109"/>
        <w:gridCol w:w="109"/>
        <w:gridCol w:w="109"/>
        <w:gridCol w:w="277"/>
        <w:gridCol w:w="787"/>
        <w:gridCol w:w="155"/>
        <w:gridCol w:w="109"/>
        <w:gridCol w:w="109"/>
        <w:gridCol w:w="109"/>
        <w:gridCol w:w="196"/>
        <w:gridCol w:w="736"/>
        <w:gridCol w:w="164"/>
      </w:tblGrid>
      <w:tr>
        <w:trPr/>
        <w:tc>
          <w:tcPr>
            <w:tcW w:w="4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9,394,066 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9,487,973 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126,065 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6"/>
        <w:gridCol w:w="306"/>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5"/>
        <w:gridCol w:w="584"/>
        <w:gridCol w:w="114"/>
        <w:gridCol w:w="109"/>
        <w:gridCol w:w="109"/>
        <w:gridCol w:w="109"/>
        <w:gridCol w:w="283"/>
        <w:gridCol w:w="804"/>
        <w:gridCol w:w="158"/>
        <w:gridCol w:w="109"/>
        <w:gridCol w:w="109"/>
        <w:gridCol w:w="109"/>
        <w:gridCol w:w="196"/>
        <w:gridCol w:w="736"/>
        <w:gridCol w:w="163"/>
      </w:tblGrid>
      <w:tr>
        <w:trPr/>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9,379,675 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798" w:type="dxa"/>
        <w:jc w:val="center"/>
        <w:tblInd w:w="0" w:type="dxa"/>
        <w:tblLayout w:type="fixed"/>
        <w:tblCellMar>
          <w:top w:w="28" w:type="dxa"/>
          <w:left w:w="28" w:type="dxa"/>
          <w:bottom w:w="28" w:type="dxa"/>
          <w:right w:w="28" w:type="dxa"/>
        </w:tblCellMar>
      </w:tblPr>
      <w:tblGrid>
        <w:gridCol w:w="1941"/>
        <w:gridCol w:w="1702"/>
        <w:gridCol w:w="1712"/>
        <w:gridCol w:w="219"/>
        <w:gridCol w:w="723"/>
        <w:gridCol w:w="122"/>
        <w:gridCol w:w="122"/>
        <w:gridCol w:w="122"/>
        <w:gridCol w:w="122"/>
        <w:gridCol w:w="219"/>
        <w:gridCol w:w="622"/>
        <w:gridCol w:w="172"/>
      </w:tblGrid>
      <w:tr>
        <w:trPr/>
        <w:tc>
          <w:tcPr>
            <w:tcW w:w="194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to net cash used in operating activities: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intangible assets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 in unrealized (appreciation) depreciation on investments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lease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operating assets and liabilities: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and benefits payable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receivable and payable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sales of equity investments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Contingent consideration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of investments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investments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Returns of capital from investments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internally developed software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stock returned for payment of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contingent consideration in acquisition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dividends paid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financing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CHANGE IN CASH AND CASH EQUIVALENTS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(9,429)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and cash equivalents, beginning of period</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and cash equivalents, end of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23,413 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CASH FLOW INFORMATION:</w:t>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during the period for income taxes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dividends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operating lease liabilities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DESCRIPTION OF THE BUSINESS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SCLP is an SEC-registered broker-dealer and Financial Industry Regulatory Authority ("FINRA") member and serves as a sub-placement agent for private placements. Salient Advisors is an SEC-registered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Management provides investment advisory services to institutional clients, a family of mutual funds called the Westwood Funds®, Westwood ETFs, other mutual funds, individual investors, private capital funds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entity comprising Westwood Management is registered with the Securities and Exchange Commission ("SEC") as an investment adviser under the Investment Advisers Act of 1940, as amended. Westwood Trust is chartered and regulated by the Texas Department of Banking.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pPr>
      <w:r>
        <w:rPr>
          <w:color w:val="000000"/>
        </w:rPr>
        <w:t> </w:t>
      </w: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2025.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Statement Reporting</w:t>
      </w:r>
    </w:p>
    <w:p>
      <w:pPr>
        <w:pStyle w:val="TextBody"/>
        <w:bidi w:val="0"/>
        <w:spacing w:lineRule="auto" w:line="288" w:before="120" w:after="283"/>
        <w:ind w:left="0" w:right="0" w:firstLine="54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i/>
          <w:color w:val="000000"/>
          <w:sz w:val="20"/>
        </w:rPr>
        <w:t xml:space="preserve">(Subtopic 220-40): Disaggregation of Income Statement Expenses </w:t>
      </w:r>
      <w:r>
        <w:rPr>
          <w:rFonts w:ascii="Times New Roman;serif" w:hAnsi="Times New Roman;serif"/>
          <w:b w:val="false"/>
          <w:color w:val="000000"/>
          <w:sz w:val="20"/>
        </w:rPr>
        <w:t xml:space="preserve">("ASU 2024-03"). ASU 2024-03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i/>
          <w:color w:val="000000"/>
          <w:sz w:val="20"/>
        </w:rPr>
        <w:t>(Subtopic 220-40): Clarifying the Effective Date</w:t>
      </w:r>
      <w:r>
        <w:rPr>
          <w:color w:val="000000"/>
        </w:rPr>
        <w:t xml:space="preserve"> </w:t>
      </w:r>
      <w:r>
        <w:rPr>
          <w:rFonts w:ascii="Times New Roman;serif" w:hAnsi="Times New Roman;serif"/>
          <w:b w:val="false"/>
          <w:color w:val="000000"/>
          <w:sz w:val="20"/>
        </w:rPr>
        <w:t>("ASU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We are in the process of analyzing the impact of this ASU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ASU 2025-06 is intended to simplify the capitalization guidance by removing 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We are in the process of analyzing the impact of this ASU on our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Interim Reporting</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("ASU 2025-11"). ASU 2025-11 is intended to clarify the application of interim reporting guidance and to reorganize existing disclosure requirements. The amendments in this ASU are effective for interim periods within annual periods beginning after December 15, 2027, with early adoption permitted. We are in the process of analyzing the impact of this ASU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 Operations are the unrealized gains and losses</w:t>
      </w:r>
      <w:r>
        <w:rPr>
          <w:color w:val="000000"/>
        </w:rPr>
        <w:t xml:space="preserve"> </w:t>
      </w:r>
      <w:r>
        <w:rPr>
          <w:rFonts w:ascii="Times New Roman;serif" w:hAnsi="Times New Roman;serif"/>
          <w:b w:val="false"/>
          <w:color w:val="000000"/>
          <w:sz w:val="20"/>
        </w:rPr>
        <w:t xml:space="preserve">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bidi w:val="0"/>
        <w:spacing w:lineRule="auto" w:line="288" w:before="120" w:after="283"/>
        <w:jc w:val="left"/>
        <w:rPr/>
      </w:pPr>
      <w:r>
        <w:rPr>
          <w:rFonts w:ascii="Times New Roman;serif" w:hAnsi="Times New Roman;serif"/>
          <w:b/>
          <w:color w:val="000000"/>
          <w:sz w:val="20"/>
        </w:rPr>
        <w:t>Advisory Fee Revenues</w:t>
      </w:r>
      <w:r>
        <w:rPr>
          <w:color w:val="000000"/>
        </w:rPr>
        <w:t xml:space="preserv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based on a daily or monthly analysis of AUM for the stated period, or based on committed or invested capital with respect to private capital funds.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investors, mutual funds, ETFs, intermediary </w:t>
      </w:r>
      <w:r>
        <w:rPr>
          <w:rFonts w:ascii="Times New Roman;serif" w:hAnsi="Times New Roman;serif"/>
          <w:b w:val="false"/>
          <w:color w:val="000000"/>
          <w:sz w:val="20"/>
          <w:shd w:fill="FFFFFF" w:val="clear"/>
        </w:rPr>
        <w:t>separately managed accounts ("SMA"), model-delivery SMA and private capital funds</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Arrangements with Performance-Based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We recognize trust fee revenues as services are rendered. Since billing periods for most of Westwood Trust’s clients coincide with the calendar quarter, revenue is fully recognized within the quarter and our Condensed Consolidated Financial Statements contain no deferred fee revenues.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Disaggregated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account type (in thousands).</w:t>
      </w:r>
    </w:p>
    <w:tbl>
      <w:tblPr>
        <w:tblW w:w="4978" w:type="dxa"/>
        <w:jc w:val="left"/>
        <w:tblInd w:w="0" w:type="dxa"/>
        <w:tblLayout w:type="fixed"/>
        <w:tblCellMar>
          <w:top w:w="28" w:type="dxa"/>
          <w:left w:w="28" w:type="dxa"/>
          <w:bottom w:w="28" w:type="dxa"/>
          <w:right w:w="28" w:type="dxa"/>
        </w:tblCellMar>
      </w:tblPr>
      <w:tblGrid>
        <w:gridCol w:w="695"/>
        <w:gridCol w:w="610"/>
        <w:gridCol w:w="614"/>
        <w:gridCol w:w="226"/>
        <w:gridCol w:w="748"/>
        <w:gridCol w:w="126"/>
        <w:gridCol w:w="126"/>
        <w:gridCol w:w="126"/>
        <w:gridCol w:w="126"/>
        <w:gridCol w:w="226"/>
        <w:gridCol w:w="748"/>
        <w:gridCol w:w="126"/>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&amp; ETFs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Fees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our clients' geographical locations (in thousands):</w:t>
      </w:r>
    </w:p>
    <w:tbl>
      <w:tblPr>
        <w:tblW w:w="7733" w:type="dxa"/>
        <w:jc w:val="left"/>
        <w:tblInd w:w="0" w:type="dxa"/>
        <w:tblLayout w:type="fixed"/>
        <w:tblCellMar>
          <w:top w:w="28" w:type="dxa"/>
          <w:left w:w="28" w:type="dxa"/>
          <w:bottom w:w="28" w:type="dxa"/>
          <w:right w:w="28" w:type="dxa"/>
        </w:tblCellMar>
      </w:tblPr>
      <w:tblGrid>
        <w:gridCol w:w="1086"/>
        <w:gridCol w:w="953"/>
        <w:gridCol w:w="961"/>
        <w:gridCol w:w="196"/>
        <w:gridCol w:w="646"/>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18" w:type="dxa"/>
        <w:jc w:val="center"/>
        <w:tblInd w:w="0" w:type="dxa"/>
        <w:tblLayout w:type="fixed"/>
        <w:tblCellMar>
          <w:top w:w="28" w:type="dxa"/>
          <w:left w:w="28" w:type="dxa"/>
          <w:bottom w:w="28" w:type="dxa"/>
          <w:right w:w="28" w:type="dxa"/>
        </w:tblCellMar>
      </w:tblPr>
      <w:tblGrid>
        <w:gridCol w:w="1086"/>
        <w:gridCol w:w="953"/>
        <w:gridCol w:w="961"/>
        <w:gridCol w:w="196"/>
        <w:gridCol w:w="646"/>
        <w:gridCol w:w="109"/>
        <w:gridCol w:w="109"/>
        <w:gridCol w:w="109"/>
        <w:gridCol w:w="109"/>
        <w:gridCol w:w="196"/>
        <w:gridCol w:w="556"/>
        <w:gridCol w:w="109"/>
        <w:gridCol w:w="109"/>
        <w:gridCol w:w="109"/>
        <w:gridCol w:w="109"/>
        <w:gridCol w:w="109"/>
        <w:gridCol w:w="109"/>
        <w:gridCol w:w="196"/>
        <w:gridCol w:w="40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SEGMENT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Advisory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Trust provides trust and custodial services and participation in common trust funds that it sponsors to institutions and high net worth individuals. Westwood Trust is included in our Trust segment.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Other column below contains the entity in which we record typical holding company expenses, including employee compensation and benefits for holding company employees, directors’ fees and investor relations costs, along with intersegment eliminations.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segment accounting policies are the same as those described in the summary of significant accounting policies. Intersegment balances that eliminate in consolidation have been applied to the appropriate segment.</w:t>
      </w:r>
    </w:p>
    <w:tbl>
      <w:tblPr>
        <w:tblW w:w="10205" w:type="dxa"/>
        <w:jc w:val="left"/>
        <w:tblInd w:w="0" w:type="dxa"/>
        <w:tblLayout w:type="fixed"/>
        <w:tblCellMar>
          <w:top w:w="28" w:type="dxa"/>
          <w:left w:w="28" w:type="dxa"/>
          <w:bottom w:w="28" w:type="dxa"/>
          <w:right w:w="28" w:type="dxa"/>
        </w:tblCellMar>
      </w:tblPr>
      <w:tblGrid>
        <w:gridCol w:w="1060"/>
        <w:gridCol w:w="917"/>
        <w:gridCol w:w="925"/>
        <w:gridCol w:w="109"/>
        <w:gridCol w:w="109"/>
        <w:gridCol w:w="109"/>
        <w:gridCol w:w="196"/>
        <w:gridCol w:w="736"/>
        <w:gridCol w:w="109"/>
        <w:gridCol w:w="109"/>
        <w:gridCol w:w="109"/>
        <w:gridCol w:w="109"/>
        <w:gridCol w:w="196"/>
        <w:gridCol w:w="646"/>
        <w:gridCol w:w="109"/>
        <w:gridCol w:w="109"/>
        <w:gridCol w:w="109"/>
        <w:gridCol w:w="109"/>
        <w:gridCol w:w="261"/>
        <w:gridCol w:w="983"/>
        <w:gridCol w:w="145"/>
        <w:gridCol w:w="109"/>
        <w:gridCol w:w="109"/>
        <w:gridCol w:w="109"/>
        <w:gridCol w:w="196"/>
        <w:gridCol w:w="807"/>
        <w:gridCol w:w="109"/>
        <w:gridCol w:w="109"/>
        <w:gridCol w:w="109"/>
        <w:gridCol w:w="109"/>
        <w:gridCol w:w="211"/>
        <w:gridCol w:w="793"/>
        <w:gridCol w:w="171"/>
      </w:tblGrid>
      <w:tr>
        <w:trPr/>
        <w:tc>
          <w:tcPr>
            <w:tcW w:w="106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5.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consist of the following (in thousands):</w:t>
      </w:r>
    </w:p>
    <w:tbl>
      <w:tblPr>
        <w:tblW w:w="6760" w:type="dxa"/>
        <w:jc w:val="left"/>
        <w:tblInd w:w="0" w:type="dxa"/>
        <w:tblLayout w:type="fixed"/>
        <w:tblCellMar>
          <w:top w:w="28" w:type="dxa"/>
          <w:left w:w="28" w:type="dxa"/>
          <w:bottom w:w="28" w:type="dxa"/>
          <w:right w:w="28" w:type="dxa"/>
        </w:tblCellMar>
      </w:tblPr>
      <w:tblGrid>
        <w:gridCol w:w="1315"/>
        <w:gridCol w:w="1156"/>
        <w:gridCol w:w="1158"/>
        <w:gridCol w:w="259"/>
        <w:gridCol w:w="856"/>
        <w:gridCol w:w="144"/>
        <w:gridCol w:w="109"/>
        <w:gridCol w:w="109"/>
        <w:gridCol w:w="109"/>
        <w:gridCol w:w="304"/>
        <w:gridCol w:w="1002"/>
        <w:gridCol w:w="23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under measurement alternative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41,433 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carried at fair value are presented in the table below (in thousands):</w:t>
      </w:r>
    </w:p>
    <w:tbl>
      <w:tblPr>
        <w:tblW w:w="7876" w:type="dxa"/>
        <w:jc w:val="left"/>
        <w:tblInd w:w="0" w:type="dxa"/>
        <w:tblLayout w:type="fixed"/>
        <w:tblCellMar>
          <w:top w:w="28" w:type="dxa"/>
          <w:left w:w="28" w:type="dxa"/>
          <w:bottom w:w="28" w:type="dxa"/>
          <w:right w:w="28" w:type="dxa"/>
        </w:tblCellMar>
      </w:tblPr>
      <w:tblGrid>
        <w:gridCol w:w="997"/>
        <w:gridCol w:w="879"/>
        <w:gridCol w:w="883"/>
        <w:gridCol w:w="109"/>
        <w:gridCol w:w="109"/>
        <w:gridCol w:w="109"/>
        <w:gridCol w:w="196"/>
        <w:gridCol w:w="646"/>
        <w:gridCol w:w="109"/>
        <w:gridCol w:w="109"/>
        <w:gridCol w:w="109"/>
        <w:gridCol w:w="109"/>
        <w:gridCol w:w="211"/>
        <w:gridCol w:w="601"/>
        <w:gridCol w:w="119"/>
        <w:gridCol w:w="109"/>
        <w:gridCol w:w="109"/>
        <w:gridCol w:w="109"/>
        <w:gridCol w:w="246"/>
        <w:gridCol w:w="547"/>
        <w:gridCol w:w="138"/>
        <w:gridCol w:w="109"/>
        <w:gridCol w:w="109"/>
        <w:gridCol w:w="109"/>
        <w:gridCol w:w="196"/>
        <w:gridCol w:w="64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w:t>
              <w:br/>
              <w:t>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Under Measurement Alternative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WEBs Investments Inc. ("WEBs") is allocated using the relative fair value method between preferred stock and a call option.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 Vista Bancshares, Inc. was acquired by a third party, National Bank Holdings Corporation ("NBHC"). Following this acquisition we recognized a gain of approximately $2.0 million in the first quarter of 2026 upon liquidation of NBHC stock.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impairments of these investments were recorded during the three months ended March 31, 2026 or March 31, 2025. Balances are shown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tbl>
      <w:tblPr>
        <w:tblW w:w="6542" w:type="dxa"/>
        <w:jc w:val="left"/>
        <w:tblInd w:w="0" w:type="dxa"/>
        <w:tblLayout w:type="fixed"/>
        <w:tblCellMar>
          <w:top w:w="28" w:type="dxa"/>
          <w:left w:w="28" w:type="dxa"/>
          <w:bottom w:w="28" w:type="dxa"/>
          <w:right w:w="28" w:type="dxa"/>
        </w:tblCellMar>
      </w:tblPr>
      <w:tblGrid>
        <w:gridCol w:w="1286"/>
        <w:gridCol w:w="1131"/>
        <w:gridCol w:w="1137"/>
        <w:gridCol w:w="197"/>
        <w:gridCol w:w="652"/>
        <w:gridCol w:w="110"/>
        <w:gridCol w:w="110"/>
        <w:gridCol w:w="110"/>
        <w:gridCol w:w="110"/>
        <w:gridCol w:w="318"/>
        <w:gridCol w:w="1050"/>
        <w:gridCol w:w="177"/>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Investment:</w:t>
            </w:r>
          </w:p>
        </w:tc>
        <w:tc>
          <w:tcPr>
            <w:tcW w:w="12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InvestCloud, Inc.</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Vista Bancshares, Inc.</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preferred stock</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call option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TXSE Group, Inc.</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Ridgeline, Inc.</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under measurement alternative</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Method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investments represent ownership interests in non-controlled partnerships and are measured based on our share of the net earnings or losses of the investee. Investment balances are included in “Equity method investments” on our Condensed Consolidated Balance Sheets and income and expenses are included in our Condensed Consolidated Statements of Operations under "Other income." Balances are shown below (in thousands):</w:t>
      </w:r>
    </w:p>
    <w:tbl>
      <w:tblPr>
        <w:tblW w:w="7898" w:type="dxa"/>
        <w:jc w:val="left"/>
        <w:tblInd w:w="0" w:type="dxa"/>
        <w:tblLayout w:type="fixed"/>
        <w:tblCellMar>
          <w:top w:w="28" w:type="dxa"/>
          <w:left w:w="28" w:type="dxa"/>
          <w:bottom w:w="28" w:type="dxa"/>
          <w:right w:w="28" w:type="dxa"/>
        </w:tblCellMar>
      </w:tblPr>
      <w:tblGrid>
        <w:gridCol w:w="1088"/>
        <w:gridCol w:w="960"/>
        <w:gridCol w:w="966"/>
        <w:gridCol w:w="287"/>
        <w:gridCol w:w="814"/>
        <w:gridCol w:w="159"/>
        <w:gridCol w:w="233"/>
        <w:gridCol w:w="233"/>
        <w:gridCol w:w="521"/>
        <w:gridCol w:w="109"/>
        <w:gridCol w:w="109"/>
        <w:gridCol w:w="109"/>
        <w:gridCol w:w="286"/>
        <w:gridCol w:w="815"/>
        <w:gridCol w:w="159"/>
        <w:gridCol w:w="233"/>
        <w:gridCol w:w="233"/>
        <w:gridCol w:w="584"/>
      </w:tblGrid>
      <w:tr>
        <w:trP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GP, L.P.</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II-A, L.P.</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Fund, L.P.</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TE Fund, L.P.</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FAIR VALUE MEASUREMENTS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ASC 820 defines fair value, establishes a framework for measuring fair value and requires disclosures regarding certain fair value measurements. ASC 820 establishes a three-tier hierarchy for measuring fair value, as follows: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1 – quoted market prices in active markets for identical assets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2 – inputs other than quoted prices that are directly or indirectly observable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3 – significant unobservable inputs where there is little or no market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equity interests in private companies without readily determinable fair values are excluded from the recurring fair value table shown below because we have elected to apply the measurement alternative for those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assets and liabilities measured at fair value on a recurring basis, as of the dates indicated, with the fair value hierarchy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7"/>
        <w:gridCol w:w="578"/>
        <w:gridCol w:w="581"/>
        <w:gridCol w:w="247"/>
        <w:gridCol w:w="816"/>
        <w:gridCol w:w="137"/>
        <w:gridCol w:w="137"/>
        <w:gridCol w:w="137"/>
        <w:gridCol w:w="137"/>
        <w:gridCol w:w="247"/>
        <w:gridCol w:w="532"/>
        <w:gridCol w:w="137"/>
        <w:gridCol w:w="137"/>
        <w:gridCol w:w="137"/>
        <w:gridCol w:w="137"/>
        <w:gridCol w:w="247"/>
        <w:gridCol w:w="513"/>
        <w:gridCol w:w="137"/>
        <w:gridCol w:w="137"/>
        <w:gridCol w:w="137"/>
        <w:gridCol w:w="137"/>
        <w:gridCol w:w="504"/>
        <w:gridCol w:w="1431"/>
        <w:gridCol w:w="282"/>
        <w:gridCol w:w="137"/>
        <w:gridCol w:w="137"/>
        <w:gridCol w:w="137"/>
        <w:gridCol w:w="247"/>
        <w:gridCol w:w="816"/>
        <w:gridCol w:w="212"/>
      </w:tblGrid>
      <w:tr>
        <w:trPr/>
        <w:tc>
          <w:tcPr>
            <w:tcW w:w="8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Investments Measured at NAV</w:t>
            </w:r>
            <w:r>
              <w:rPr>
                <w:color w:val="000000"/>
              </w:rPr>
              <w:t xml:space="preserve"> </w:t>
            </w:r>
            <w:r>
              <w:rPr>
                <w:rFonts w:ascii="Times New Roman;serif" w:hAnsi="Times New Roman;serif"/>
                <w:b w:val="false"/>
                <w:color w:val="000000"/>
                <w:sz w:val="12"/>
              </w:rPr>
              <w:t>(1)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Level 3 liabilities measured at fair value on a recurring basis for the periods presented (in thousands):</w:t>
      </w:r>
    </w:p>
    <w:tbl>
      <w:tblPr>
        <w:tblW w:w="4588" w:type="dxa"/>
        <w:jc w:val="left"/>
        <w:tblInd w:w="0" w:type="dxa"/>
        <w:tblLayout w:type="fixed"/>
        <w:tblCellMar>
          <w:top w:w="28" w:type="dxa"/>
          <w:left w:w="28" w:type="dxa"/>
          <w:bottom w:w="28" w:type="dxa"/>
          <w:right w:w="28" w:type="dxa"/>
        </w:tblCellMar>
      </w:tblPr>
      <w:tblGrid>
        <w:gridCol w:w="553"/>
        <w:gridCol w:w="487"/>
        <w:gridCol w:w="489"/>
        <w:gridCol w:w="266"/>
        <w:gridCol w:w="551"/>
        <w:gridCol w:w="148"/>
        <w:gridCol w:w="148"/>
        <w:gridCol w:w="148"/>
        <w:gridCol w:w="148"/>
        <w:gridCol w:w="266"/>
        <w:gridCol w:w="755"/>
        <w:gridCol w:w="148"/>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2094" w:type="dxa"/>
            <w:gridSpan w:val="10"/>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final measurement date of the growth earn-out was in 2025 and the final payment for the revenue retention earn-out was made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222222"/>
          <w:sz w:val="20"/>
        </w:rPr>
      </w:pPr>
      <w:r>
        <w:rPr>
          <w:rFonts w:ascii="Times New Roman;serif" w:hAnsi="Times New Roman;serif"/>
          <w:b/>
          <w:color w:val="222222"/>
          <w:sz w:val="20"/>
        </w:rPr>
        <w:t>7. 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differed from the 21% statutory rate for the three months ended March 31, 2026 and March 31, 2025 due to permanent differences related to executive compensation and the impact of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EARNINGS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approximately 11,000 and 20,000 anti-dilutive restricted shares outstanding for the three months ended March 31, 2026 and March 31,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thousands, except per share and share amounts):</w:t>
      </w:r>
    </w:p>
    <w:tbl>
      <w:tblPr>
        <w:tblW w:w="7545" w:type="dxa"/>
        <w:jc w:val="left"/>
        <w:tblInd w:w="0" w:type="dxa"/>
        <w:tblLayout w:type="fixed"/>
        <w:tblCellMar>
          <w:top w:w="28" w:type="dxa"/>
          <w:left w:w="28" w:type="dxa"/>
          <w:bottom w:w="28" w:type="dxa"/>
          <w:right w:w="28" w:type="dxa"/>
        </w:tblCellMar>
      </w:tblPr>
      <w:tblGrid>
        <w:gridCol w:w="1585"/>
        <w:gridCol w:w="1395"/>
        <w:gridCol w:w="1399"/>
        <w:gridCol w:w="109"/>
        <w:gridCol w:w="270"/>
        <w:gridCol w:w="643"/>
        <w:gridCol w:w="150"/>
        <w:gridCol w:w="150"/>
        <w:gridCol w:w="150"/>
        <w:gridCol w:w="150"/>
        <w:gridCol w:w="270"/>
        <w:gridCol w:w="643"/>
        <w:gridCol w:w="150"/>
        <w:gridCol w:w="109"/>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8,498,350 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8,253,912 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potential shares from unvested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9,041,922 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8,781,743 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9. GOODWILL AND OTHER INTANGIBLE ASSETS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acquired assets over the fair value of the underlying liabilities assumed at the date of acquisition. Changes in goodwill were as follows (in thousands):</w:t>
      </w:r>
    </w:p>
    <w:tbl>
      <w:tblPr>
        <w:tblW w:w="6295" w:type="dxa"/>
        <w:jc w:val="left"/>
        <w:tblInd w:w="0" w:type="dxa"/>
        <w:tblLayout w:type="fixed"/>
        <w:tblCellMar>
          <w:top w:w="28" w:type="dxa"/>
          <w:left w:w="28" w:type="dxa"/>
          <w:bottom w:w="28" w:type="dxa"/>
          <w:right w:w="28" w:type="dxa"/>
        </w:tblCellMar>
      </w:tblPr>
      <w:tblGrid>
        <w:gridCol w:w="565"/>
        <w:gridCol w:w="495"/>
        <w:gridCol w:w="500"/>
        <w:gridCol w:w="109"/>
        <w:gridCol w:w="109"/>
        <w:gridCol w:w="109"/>
        <w:gridCol w:w="256"/>
        <w:gridCol w:w="846"/>
        <w:gridCol w:w="142"/>
        <w:gridCol w:w="109"/>
        <w:gridCol w:w="109"/>
        <w:gridCol w:w="109"/>
        <w:gridCol w:w="312"/>
        <w:gridCol w:w="1029"/>
        <w:gridCol w:w="173"/>
        <w:gridCol w:w="109"/>
        <w:gridCol w:w="109"/>
        <w:gridCol w:w="109"/>
        <w:gridCol w:w="196"/>
        <w:gridCol w:w="64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is reviewed for impairment annually, or between annual assessments if a triggering event occurs or circumstances change that would more likely than not result in the fair value of a reporting unit below its carrying amount. We completed our annual goodwill impairment assessment during the third quarter of 2025 and determined that no impairment loss was required. No goodwill impairments were recorded during the three months ended March 31, 2026 or March 31,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2026 or March 31,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which is included in “General and administrative” expense on our Condensed Consolidated Statements of Operations, was $0.8 million and $1.0 million for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222222"/>
          <w:sz w:val="20"/>
        </w:rPr>
      </w:pPr>
      <w:r>
        <w:rPr>
          <w:rFonts w:ascii="Times New Roman;serif" w:hAnsi="Times New Roman;serif"/>
          <w:b/>
          <w:color w:val="222222"/>
          <w:sz w:val="20"/>
        </w:rPr>
        <w:t>10.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outside the ordinary course of business to our leases since December 31, 2025. For information regarding our leases, refer to Note 12 “Leases” in Part IV, Item 15. “Exhibits, Financial Statement Schedules”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11. STOCKHOLDERS' EQUITY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shares up to a value of $5.5 million may yet be repurchased under our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12. VARIABLE INTEREST ENTITIES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evaluated (i) our relationship as sponsor of the CTFs and managing member of the private equity funds Westwood Hospitality, Westwood Technology Opportunities Fund I, LP, Westwood Energy Secondaries Fund I, Westwood Energy Secondaries Fund II, Westwood Energy Secondaries Co-Invest Fund II, Westwood Energy Secondaries Co-Invest Fund III and Westwood Energy Secondaries Co-Invest IV Fund (collectively the “Private Funds”), (ii) our advisory relationships with the Westwood Funds® and (iii) our investments in InvestCloud Inc. ("InvestCloud"), Vista Bancshares, Inc. ("Vista"), Zarvona Energy Fund GP, Zarvona Energy Fund II-A, WEBs Investments Inc. ("WEBs") and the TXSE Group Inc. ("TXSE") as discussed in Note 5</w:t>
      </w:r>
      <w:r>
        <w:rPr>
          <w:color w:val="222222"/>
        </w:rPr>
        <w:t xml:space="preserve"> “</w:t>
      </w:r>
      <w:r>
        <w:rPr>
          <w:rFonts w:ascii="Times New Roman;serif" w:hAnsi="Times New Roman;serif"/>
          <w:b w:val="false"/>
          <w:color w:val="222222"/>
          <w:sz w:val="20"/>
        </w:rPr>
        <w:t>Investments”</w:t>
      </w:r>
      <w:r>
        <w:rPr>
          <w:color w:val="000000"/>
        </w:rPr>
        <w:t xml:space="preserve"> </w:t>
      </w:r>
      <w:r>
        <w:rPr>
          <w:rFonts w:ascii="Times New Roman;serif" w:hAnsi="Times New Roman;serif"/>
          <w:b w:val="false"/>
          <w:color w:val="000000"/>
          <w:sz w:val="20"/>
        </w:rPr>
        <w:t>to determine whether each of these entities is a variable interest entity ("VIE") or voting ownership entity (“VOE”).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that the CTFs, Private Funds, Zarvona Energy Fund II-A and WEBs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the Westwood Funds®, InvestCloud, Vista, Zarvona Energy Fund GP and TXSE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For the Westwood VOEs, we evaluated whether or not we own a controlling financial interest in the entities, and we concluded that we do not. Based on our analyses, we have not consolidated the Westwood VIEs or Westwood VOEs for the periods ending March 31, 2026 and December 31,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recognized fee revenue from the Westwood VIEs and Westwood VOEs as follows (in millions):</w:t>
      </w:r>
    </w:p>
    <w:tbl>
      <w:tblPr>
        <w:tblW w:w="4555" w:type="dxa"/>
        <w:jc w:val="left"/>
        <w:tblInd w:w="0" w:type="dxa"/>
        <w:tblLayout w:type="fixed"/>
        <w:tblCellMar>
          <w:top w:w="28" w:type="dxa"/>
          <w:left w:w="28" w:type="dxa"/>
          <w:bottom w:w="28" w:type="dxa"/>
          <w:right w:w="28" w:type="dxa"/>
        </w:tblCellMar>
      </w:tblPr>
      <w:tblGrid>
        <w:gridCol w:w="418"/>
        <w:gridCol w:w="367"/>
        <w:gridCol w:w="370"/>
        <w:gridCol w:w="371"/>
        <w:gridCol w:w="713"/>
        <w:gridCol w:w="206"/>
        <w:gridCol w:w="113"/>
        <w:gridCol w:w="113"/>
        <w:gridCol w:w="113"/>
        <w:gridCol w:w="371"/>
        <w:gridCol w:w="713"/>
        <w:gridCol w:w="206"/>
        <w:gridCol w:w="109"/>
        <w:gridCol w:w="109"/>
        <w:gridCol w:w="109"/>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Revenues</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display the AUM, the amount of our seed investments that are included in “Investments, at fair value” on the Condensed Consolidated Balance Sheets, and the financial risk of loss in each vehicle (in millions):</w:t>
      </w:r>
    </w:p>
    <w:tbl>
      <w:tblPr>
        <w:tblW w:w="6595" w:type="dxa"/>
        <w:jc w:val="left"/>
        <w:tblInd w:w="0" w:type="dxa"/>
        <w:tblLayout w:type="fixed"/>
        <w:tblCellMar>
          <w:top w:w="28" w:type="dxa"/>
          <w:left w:w="28" w:type="dxa"/>
          <w:bottom w:w="28" w:type="dxa"/>
          <w:right w:w="28" w:type="dxa"/>
        </w:tblCellMar>
      </w:tblPr>
      <w:tblGrid>
        <w:gridCol w:w="891"/>
        <w:gridCol w:w="779"/>
        <w:gridCol w:w="789"/>
        <w:gridCol w:w="228"/>
        <w:gridCol w:w="754"/>
        <w:gridCol w:w="129"/>
        <w:gridCol w:w="109"/>
        <w:gridCol w:w="109"/>
        <w:gridCol w:w="109"/>
        <w:gridCol w:w="280"/>
        <w:gridCol w:w="538"/>
        <w:gridCol w:w="158"/>
        <w:gridCol w:w="109"/>
        <w:gridCol w:w="109"/>
        <w:gridCol w:w="109"/>
        <w:gridCol w:w="375"/>
        <w:gridCol w:w="722"/>
        <w:gridCol w:w="298"/>
      </w:tblGrid>
      <w:tr>
        <w:trPr/>
        <w:tc>
          <w:tcPr>
            <w:tcW w:w="89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Trust Funds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Funds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Under Management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18" w:type="dxa"/>
        <w:jc w:val="left"/>
        <w:tblInd w:w="0" w:type="dxa"/>
        <w:tblLayout w:type="fixed"/>
        <w:tblCellMar>
          <w:top w:w="28" w:type="dxa"/>
          <w:left w:w="28" w:type="dxa"/>
          <w:bottom w:w="28" w:type="dxa"/>
          <w:right w:w="28" w:type="dxa"/>
        </w:tblCellMar>
      </w:tblPr>
      <w:tblGrid>
        <w:gridCol w:w="679"/>
        <w:gridCol w:w="594"/>
        <w:gridCol w:w="601"/>
        <w:gridCol w:w="109"/>
        <w:gridCol w:w="228"/>
        <w:gridCol w:w="754"/>
        <w:gridCol w:w="129"/>
        <w:gridCol w:w="109"/>
        <w:gridCol w:w="109"/>
        <w:gridCol w:w="109"/>
        <w:gridCol w:w="269"/>
        <w:gridCol w:w="557"/>
        <w:gridCol w:w="150"/>
        <w:gridCol w:w="109"/>
        <w:gridCol w:w="109"/>
        <w:gridCol w:w="109"/>
        <w:gridCol w:w="361"/>
        <w:gridCol w:w="748"/>
        <w:gridCol w:w="285"/>
      </w:tblGrid>
      <w:tr>
        <w:trPr/>
        <w:tc>
          <w:tcPr>
            <w:tcW w:w="6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VIEs/VOEs: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Funds®</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Trust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AUM</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Legal matter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Westwood Trust, a subsidiary of the Company, was named as a defendant in a lawsuit filed in Dallas County Court relating to a trust for which Westwood Trust served as trustee. While the company believes it fulfilled its fiduciary responsibilities as trustee, the parties entered into a settlement agreement in March 2026, providing for a full release of both parties and a settlement payment in the amount of $1.6 million (the “Settlement Amount”), included in "Accounts payable and accrued liabilities" on our Condensed Consolidated Balance Sheets. The Settlement Amount was offset by approximately $0.6 million of related loss recoveries from the Company’s directors and officers liability insurance policy with third parties, which was included as "Other assets" on our March 31, 2026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222222"/>
          <w:sz w:val="20"/>
        </w:rPr>
      </w:pPr>
      <w:r>
        <w:rPr>
          <w:rFonts w:ascii="Times New Roman;serif" w:hAnsi="Times New Roman;serif"/>
          <w:b/>
          <w:color w:val="222222"/>
          <w:sz w:val="20"/>
        </w:rPr>
        <w:t>14. RELATED PARTY TRANSACTIONS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months ended March 31, 2026 and March 31, 2025, the Company earned immaterial fees from the affiliated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Dividend Declared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30, 2026, the Board of Directors declared a quarterly cash dividend of $0.15 per share of common stock payable on July 1, 2026 to stockholders of record on June 1, 2026.</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advanced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27, 2026, the Company advanced $5.0 million to a related party borrower, Westwood Energy Secondaries Fund III,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Forward-Looking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2025 and those risks set forth below: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composition and market value of our AUM and AUA;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our fee structure in light of competitive fee pressures;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actions of activist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distributions to our common stockholders have included and may in the future include a return of capital;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inclusion of foreign company investments in our AUM;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regulations adversely affecting the financial services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effective cyber security;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litigation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market new investment strategies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reputation and our relationships with current and potential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perform operational tasks;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select and oversee third-party vendors;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dependence on the operations and funds of our subsidiaries;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effective information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stock is thinly traded and may be subject to volatility;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in the investment management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avoid termination of client agreements and the related investment redemptions;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significant concentration of our revenues in a small number of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made and may continue to make business combinations as a part of our business strategy, which may present certain risks and uncertainties;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relationships with investment consulting firms;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identify and execute on our strategic initiatives;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declare and pay dividends;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fund future capital requirements on favorable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properly address conflicts of interest;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adequate insurance coverage;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an effective system of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Overview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investment assets and provide services for our clients through our subsidiaries, Westwood Management Corp., Westwood Advisors, L.L.C., Salient Advisors, L.P. ("Salient Advisors") and Broadmark Asset Management LLC ("Broadmark"), (each of which is a registered investment adviser ("RIA") registered with the Securities and Exchange Commission ("SEC"), and Salient Capital, L.P., ("SCLP") an SEC-registered broker-dealer and Financial Industry Regulatory Authority ("FINRA") member, collectively referred to hereinafter together as "Westwood Management") and Westwood Trust. Westwood Holdings Group, founded in 1983, through Westwood Management,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are generally derived from fees based on a percentage of AUM and AUA, and Westwood Management and Westwood Trust collectively had AUM of approximately $17.3 billion and AUA of approximately $0.9 billion at March 31, 2026. We have established a track record of delivering competitive, risk-adjusted returns for our clients.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revenues primarily consist of investment income from seed money investments into new investment strategies.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Employee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costs generally consist of salaries, sales commissions, incentive compensation, stock-based compensation expense and benefits.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and marketing costs relate to our marketing efforts, including travel and entertainment, direct marketing and advertising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Westwood Funds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Expenses for Westwood funds relate to our marketing, distribution and administration of the Westwood Funds</w:t>
      </w:r>
      <w:r>
        <w:rPr>
          <w:rFonts w:ascii="Times New Roman;serif" w:hAnsi="Times New Roman;serif"/>
          <w:b/>
          <w:i/>
          <w:color w:val="000000"/>
          <w:sz w:val="20"/>
        </w:rPr>
        <w:t xml:space="preserve">® </w:t>
      </w:r>
      <w:r>
        <w:rPr>
          <w:rFonts w:ascii="Times New Roman;serif" w:hAnsi="Times New Roman;serif"/>
          <w:b w:val="false"/>
          <w:color w:val="000000"/>
          <w:sz w:val="20"/>
        </w:rPr>
        <w:t>mutual funds and Westwood ETFs.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Professional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expenses generally consist of costs associated with sub-advisory fees, audit, legal and other professional services.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change in unrealized appreciation (depreciation) on private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change in unrealized appreciation (depreciation) on private investments includes changes in the value of our privately held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investment income primarily includes interest and dividend income on fixed income securities and money market funds.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primarily consists of income from the sublease of a portion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Firm-wide Assets Under Management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Firm-wide assets under management of $18.3 billion at March 31, 2026 consisted of $17.3 billion of AUM and $0.9 billion of AUA.</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AUM increased $0.3 billion to $17.3 billion at March 31, 2026 compared with $17.0 billion at March 31, 2025. The average of beginning and ending AUM ("average AUM") for the first quarter of 2026 was $16.9 billion compared to $16.8 billion for the first quarter of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displays AUM as of March 31, 2026 and 2025 (in millions): </w:t>
      </w:r>
    </w:p>
    <w:tbl>
      <w:tblPr>
        <w:tblW w:w="5718" w:type="dxa"/>
        <w:jc w:val="left"/>
        <w:tblInd w:w="0" w:type="dxa"/>
        <w:tblLayout w:type="fixed"/>
        <w:tblCellMar>
          <w:top w:w="28" w:type="dxa"/>
          <w:left w:w="28" w:type="dxa"/>
          <w:bottom w:w="28" w:type="dxa"/>
          <w:right w:w="28" w:type="dxa"/>
        </w:tblCellMar>
      </w:tblPr>
      <w:tblGrid>
        <w:gridCol w:w="755"/>
        <w:gridCol w:w="664"/>
        <w:gridCol w:w="665"/>
        <w:gridCol w:w="109"/>
        <w:gridCol w:w="109"/>
        <w:gridCol w:w="109"/>
        <w:gridCol w:w="196"/>
        <w:gridCol w:w="646"/>
        <w:gridCol w:w="109"/>
        <w:gridCol w:w="109"/>
        <w:gridCol w:w="109"/>
        <w:gridCol w:w="109"/>
        <w:gridCol w:w="196"/>
        <w:gridCol w:w="646"/>
        <w:gridCol w:w="109"/>
        <w:gridCol w:w="109"/>
        <w:gridCol w:w="109"/>
        <w:gridCol w:w="109"/>
        <w:gridCol w:w="157"/>
        <w:gridCol w:w="157"/>
        <w:gridCol w:w="437"/>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78"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Institutional</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Wealth Management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 &amp; ETFs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(3)Mutual Funds &amp; ETFs include the Westwood Funds®, a family of mutual funds and Westwood ETFs, for which Westwood Management or Salient Advisors serves as advisor. These funds are available to individual investors, institutional investors and wealth management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Roll-Forward of Assets Under Management </w:t>
      </w:r>
    </w:p>
    <w:p>
      <w:pPr>
        <w:pStyle w:val="TextBody"/>
        <w:bidi w:val="0"/>
        <w:spacing w:lineRule="auto" w:line="288" w:before="0" w:after="0"/>
        <w:jc w:val="left"/>
        <w:rPr>
          <w:color w:val="000000"/>
        </w:rPr>
      </w:pPr>
      <w:r>
        <w:rPr>
          <w:color w:val="000000"/>
        </w:rPr>
        <w:t> </w:t>
      </w:r>
    </w:p>
    <w:tbl>
      <w:tblPr>
        <w:tblW w:w="5609" w:type="dxa"/>
        <w:jc w:val="left"/>
        <w:tblInd w:w="0" w:type="dxa"/>
        <w:tblLayout w:type="fixed"/>
        <w:tblCellMar>
          <w:top w:w="28" w:type="dxa"/>
          <w:left w:w="28" w:type="dxa"/>
          <w:bottom w:w="28" w:type="dxa"/>
          <w:right w:w="28" w:type="dxa"/>
        </w:tblCellMar>
      </w:tblPr>
      <w:tblGrid>
        <w:gridCol w:w="922"/>
        <w:gridCol w:w="812"/>
        <w:gridCol w:w="816"/>
        <w:gridCol w:w="226"/>
        <w:gridCol w:w="748"/>
        <w:gridCol w:w="126"/>
        <w:gridCol w:w="126"/>
        <w:gridCol w:w="126"/>
        <w:gridCol w:w="126"/>
        <w:gridCol w:w="226"/>
        <w:gridCol w:w="748"/>
        <w:gridCol w:w="126"/>
        <w:gridCol w:w="109"/>
        <w:gridCol w:w="109"/>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Institutional</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Wealth Management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Mutual Funds &amp; ETFs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AUM</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the three months ended March 31,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March 31, 2026 was due to market appreciation of $0.8 billion offset by net outflows of $0.1 billion. Net outflows were primarily related to our SmallCap Value and LargeCap Value strategies.</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March 31, 2025 was due to net inflows of $0.6 billion offset by market depreciation of $0.3 billion. Net inflows were primarily related to our SmallCap Value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Roll-Forward of Assets Under Advisement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921"/>
        <w:gridCol w:w="810"/>
        <w:gridCol w:w="819"/>
        <w:gridCol w:w="284"/>
        <w:gridCol w:w="610"/>
        <w:gridCol w:w="158"/>
        <w:gridCol w:w="158"/>
        <w:gridCol w:w="158"/>
        <w:gridCol w:w="158"/>
        <w:gridCol w:w="284"/>
        <w:gridCol w:w="610"/>
        <w:gridCol w:w="158"/>
        <w:gridCol w:w="109"/>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 Under Advisement</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Results of Operations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tbl>
      <w:tblPr>
        <w:tblW w:w="8613" w:type="dxa"/>
        <w:jc w:val="left"/>
        <w:tblInd w:w="0" w:type="dxa"/>
        <w:tblLayout w:type="fixed"/>
        <w:tblCellMar>
          <w:top w:w="28" w:type="dxa"/>
          <w:left w:w="28" w:type="dxa"/>
          <w:bottom w:w="28" w:type="dxa"/>
          <w:right w:w="28" w:type="dxa"/>
        </w:tblCellMar>
      </w:tblPr>
      <w:tblGrid>
        <w:gridCol w:w="1591"/>
        <w:gridCol w:w="1397"/>
        <w:gridCol w:w="1407"/>
        <w:gridCol w:w="196"/>
        <w:gridCol w:w="646"/>
        <w:gridCol w:w="109"/>
        <w:gridCol w:w="109"/>
        <w:gridCol w:w="109"/>
        <w:gridCol w:w="109"/>
        <w:gridCol w:w="196"/>
        <w:gridCol w:w="646"/>
        <w:gridCol w:w="109"/>
        <w:gridCol w:w="109"/>
        <w:gridCol w:w="109"/>
        <w:gridCol w:w="109"/>
        <w:gridCol w:w="277"/>
        <w:gridCol w:w="279"/>
        <w:gridCol w:w="407"/>
        <w:gridCol w:w="109"/>
        <w:gridCol w:w="109"/>
        <w:gridCol w:w="109"/>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 asset-based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depreciation on private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(loss) attributable to noncontrolling interest</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three months ended March 31, 2025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Total revenues</w:t>
      </w:r>
      <w:r>
        <w:rPr>
          <w:rFonts w:ascii="Times New Roman;serif" w:hAnsi="Times New Roman;serif"/>
          <w:b w:val="false"/>
          <w:color w:val="000000"/>
          <w:sz w:val="20"/>
        </w:rPr>
        <w:t>. Total revenues for the three months ended March 31, 2026 were higher than revenues for the three months ended March 31, 2025 due to higher average AUM and growth from our ETFs and private energy secondaries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for the three months ended March 31, 2026 increased compared to the three months March 31, 2025 primarily due to higher incentive compensation costs.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costs for the three months ended March 31, 2026 increased compared to the three months ended March 31, 2025 primarily due to additional legal expenses.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Realized gains on private investments</w:t>
      </w:r>
      <w:r>
        <w:rPr>
          <w:rFonts w:ascii="Times New Roman;serif" w:hAnsi="Times New Roman;serif"/>
          <w:b w:val="false"/>
          <w:color w:val="000000"/>
          <w:sz w:val="20"/>
        </w:rPr>
        <w:t>. Realized gains on private investments related to our first quarter 2026 sale of NBHC stock.</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Income tax provision</w:t>
      </w:r>
      <w:r>
        <w:rPr>
          <w:rFonts w:ascii="Times New Roman;serif" w:hAnsi="Times New Roman;serif"/>
          <w:b w:val="false"/>
          <w:color w:val="000000"/>
          <w:sz w:val="20"/>
        </w:rPr>
        <w:t>. Our effective income tax rate differed from the 21% statutory rate for the three months ended March 31, 2026 and March 31, 2025 due to permanent differences related to executive compensation and the impact of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Supplemental Financial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(in thousands, except share and per share amounts) provide a reconciliation of income attributable to Westwood Holdings Group, Inc. to Economic Earnings and Economic Earnings by segment. We have included the tax impact of adjustments for all periods presented.</w:t>
      </w:r>
    </w:p>
    <w:p>
      <w:pPr>
        <w:pStyle w:val="TextBody"/>
        <w:bidi w:val="0"/>
        <w:spacing w:before="120" w:after="6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1585"/>
        <w:gridCol w:w="1395"/>
        <w:gridCol w:w="1399"/>
        <w:gridCol w:w="246"/>
        <w:gridCol w:w="700"/>
        <w:gridCol w:w="137"/>
        <w:gridCol w:w="137"/>
        <w:gridCol w:w="137"/>
        <w:gridCol w:w="137"/>
        <w:gridCol w:w="246"/>
        <w:gridCol w:w="700"/>
        <w:gridCol w:w="137"/>
        <w:gridCol w:w="109"/>
        <w:gridCol w:w="109"/>
        <w:gridCol w:w="109"/>
        <w:gridCol w:w="209"/>
        <w:gridCol w:w="212"/>
        <w:gridCol w:w="382"/>
        <w:gridCol w:w="109"/>
        <w:gridCol w:w="109"/>
        <w:gridCol w:w="109"/>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per share</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9,041,922 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8,781,743 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by Segment:</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Holdings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cash requirements with cash generated from operating activities. We may also use cash from operations to pay dividends to our stockholders, for deferred contingent consideration payments, or for providing seed capital for certain investments. We had no debt as of March 31, 2026 and December 31, 2025.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liquid investments of $34.2 million and $44.1 million as of March 31, 2026 and December 31,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cash flow used in operating activities included net sales of equity investments of $6.1 million and reductions in compensation and benefits payable of $9.0 million. During the three months ended March 31, 2025, cash flow used in operating activities was $4.9 million, which included net sales of investments of $8.0 million and reductions in compensation and benefits payable of $8.5 million and contingent consideration of $4.4 million following the final payment for the revenue retention earn-out.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provided by investing activities during the three months ended March 31, 2026 was related to the net sales of investments, return of capital from investments and purchases of property and equipment. Cash flow used in investing activities during the three months ended March 31, 2025 was related to the purchase of investments and internally developed software.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used in financing activities of $2.9 million for the three months ended March 31, 2026 reflected the payment of dividends and restricted stock returned for the payment of taxes. Cash flows used in financing activities of $3.1 million for the three months ended March 31, 2025 reflected the payment of dividends, deferred contingent consideration payments and restricted stock returned for the payment of taxes.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Westwood Trust is required to maintain cash and investments in an amount equal to the minimum restricted capital of $4.0 million, as required by the Texas Finance Code. Restricted capital is included in "Cash and cash equivalents"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 in the accompanying Condensed Consolidated Balance Sheets. At March 31, 2026, Westwood Trust had approximately $8.8 million in excess of its minimum capital requirement.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2025.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Critical and Significant Accounting Policies and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or significant accounting policies and estimates since December 31, 2025.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Accounting Developments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Quantitative and Qualitative Disclosures about Market Risk from those previously reported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there were no changes in our internal controls over financial reporting (as defined in Rule 13a-15(f) under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2025 and the risks set forth below.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share repurchase program has no expiration date and may be discontinued at any time by the Board of Directors. During the three months ended March 31, 2026, the Company did not repurchase any shares of our common stock.</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4"/>
        <w:gridCol w:w="161"/>
        <w:gridCol w:w="166"/>
        <w:gridCol w:w="109"/>
        <w:gridCol w:w="109"/>
        <w:gridCol w:w="109"/>
        <w:gridCol w:w="2851"/>
        <w:gridCol w:w="2698"/>
        <w:gridCol w:w="3818"/>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rPr>
                <w:t>Securities Purchase Agreement by and among Westwood Holdings Group, Inc., McCarthy Group Advisors, LLC, MGA Holdings, LLC, and The Members of MGA Holdings, LLC (incorporated by reference from the Form 10-K filed with the SEC on February 28, 2013)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rPr>
                <w:t>Reorganization Agreement and Agreement and Plan of Merger dated as of January 15, 2015 by and among Westwood Holdings Group, Inc., Westwood Trust, Woodway Financial Advisors, A Trust Company and the Shareholders of Woodway Financial Advisors, A Trust Company (incorporated by reference from the Form 8-K filed with the SEC on January 16, 2015)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rPr>
                <w:t>Purchase Agreement, dated May 25, 2022, by and among Westwood Holdings Group, Inc., Salient Capital Management, LLC, Salient Partners, L.P. and the other Seller parties identified on Annex I (incorporated by reference from the Form 8-K filed with the SEC on May 26, 2022)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rPr>
                <w:t>Amended and Restated Certificate of Incorporation of Westwood Holdings Group, Inc. (incorporated by reference from the Form S-8 filed with the SEC on September 28, 2022)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rPr>
                <w:t>Certificate of Amendment to Certificate of Formation of Westwood Holdings Group, Inc. (incorporated by reference to the Form 8-K filed with the SEC on December 2, 2024)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rPr>
                <w:t>Amended and Restated Bylaws of Westwood Holdings Group, Inc. (incorporated by reference from the Form 8-K filed with the SEC on November 2, 2021)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rPr>
                <w:t>Form of Common Stock Certificate of Westwood Holdings Group, Inc. (incorporated by reference from Amendment No. 2 to Registration Statement on Form 10/A filed with the SEC on April 30,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xhibit311.htm">
              <w:r>
                <w:rPr>
                  <w:rStyle w:val="InternetLink"/>
                  <w:rFonts w:ascii="Times New Roman;serif" w:hAnsi="Times New Roman;serif"/>
                  <w:b w:val="false"/>
                  <w:color w:val="0000FF"/>
                  <w:sz w:val="20"/>
                </w:rPr>
                <w:t>Certification of Chief Executive Officer Pursuant to Securities Exchange Act Rule 13a-14(a)</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xhibit312.htm">
              <w:r>
                <w:rPr>
                  <w:rStyle w:val="InternetLink"/>
                  <w:rFonts w:ascii="Times New Roman;serif" w:hAnsi="Times New Roman;serif"/>
                  <w:b w:val="false"/>
                  <w:color w:val="0000FF"/>
                  <w:sz w:val="20"/>
                </w:rPr>
                <w:t>Certification of Chief Financial Officer Pursuant to Securities Exchange Act Rule 13a-14(a)</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xhibit321.htm">
              <w:r>
                <w:rPr>
                  <w:rStyle w:val="InternetLink"/>
                  <w:rFonts w:ascii="Times New Roman;serif" w:hAnsi="Times New Roman;serif"/>
                  <w:b w:val="false"/>
                  <w:color w:val="0000FF"/>
                  <w:sz w:val="20"/>
                </w:rPr>
                <w:t>Certification of Chief Executive Officer Pursuant to 18 U.S.C. Section 1350, as Adopted Pursuant to Section 906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xhibit322.htm">
              <w:r>
                <w:rPr>
                  <w:rStyle w:val="InternetLink"/>
                  <w:rFonts w:ascii="Times New Roman;serif" w:hAnsi="Times New Roman;serif"/>
                  <w:b w:val="false"/>
                  <w:color w:val="0000FF"/>
                  <w:sz w:val="20"/>
                </w:rPr>
                <w:t>Certification of Chief Financial Officer Pursuant to 18 U.S.C. Section 1350, as Adopted Pursuant to Section 906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Westwood Holdings Group, Inc.'s Quarterly Report on Form 10-Q for the period ended March 31, 2026, formatted in Inline eXtensible Business Reporting Language (iXBRL): (i) Condensed Consolidated Balance Sheets as of March 31, 2026 and December 31, 2025; (ii) Condensed Consolidated Statements of Operations for the three months ended March 31, 2026 and 2025; (iii) Condensed Consolidated Statements of Stockholders' Equity; (iv) Condensed Consolidated Statements of Cash Flows for the three months ended March 31, 20226 and 2025; and (v) Notes to the Condensed Consolidated Financial Statements.</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iXBRL and contained in Exhibit 101)</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ind w:left="0" w:right="0" w:firstLine="540"/>
        <w:jc w:val="left"/>
        <w:rPr/>
      </w:pPr>
      <w:r>
        <w:rPr/>
      </w:r>
    </w:p>
    <w:p>
      <w:pPr>
        <w:pStyle w:val="TextBody"/>
        <w:bidi w:val="0"/>
        <w:spacing w:lineRule="auto" w:line="288" w:before="0" w:after="0"/>
        <w:jc w:val="left"/>
        <w:rPr>
          <w:color w:val="000000"/>
        </w:rPr>
      </w:pPr>
      <w:r>
        <w:rPr>
          <w:color w:val="000000"/>
        </w:rPr>
        <w:t> </w:t>
      </w:r>
    </w:p>
    <w:tbl>
      <w:tblPr>
        <w:tblW w:w="72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360"/>
        <w:gridCol w:w="360"/>
        <w:gridCol w:w="360"/>
        <w:gridCol w:w="360"/>
        <w:gridCol w:w="360"/>
        <w:gridCol w:w="360"/>
        <w:gridCol w:w="904"/>
        <w:gridCol w:w="904"/>
        <w:gridCol w:w="134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53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Brian O. Casey,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April 30, 2026</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60" w:after="283"/>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FINANCIAL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Murray Forbes III,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April 30, 2026</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6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March 31, 2026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April 30, 2026</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March 31, 2026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 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April 30, 2026</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9312513084081/d444159dex21.htm" TargetMode="External"/><Relationship Id="rId3" Type="http://schemas.openxmlformats.org/officeDocument/2006/relationships/hyperlink" Target="https://www.sec.gov/Archives/edgar/data/1165002/000119312515012458/d853486dex21.htm" TargetMode="External"/><Relationship Id="rId4" Type="http://schemas.openxmlformats.org/officeDocument/2006/relationships/hyperlink" Target="https://www.sec.gov/Archives/edgar/data/1165002/000116500222000079/0001165002-22-000079-index.htm" TargetMode="External"/><Relationship Id="rId5" Type="http://schemas.openxmlformats.org/officeDocument/2006/relationships/hyperlink" Target="https://www.sec.gov/Archives/edgar/data/1165002/000116500222000098/0001165002-22-000098-index.htm" TargetMode="External"/><Relationship Id="rId6" Type="http://schemas.openxmlformats.org/officeDocument/2006/relationships/hyperlink" Target="https://www.sec.gov/ix?doc=/Archives/edgar/data/0001165002/000116500224000087/whg-20241202.htm" TargetMode="External"/><Relationship Id="rId7" Type="http://schemas.openxmlformats.org/officeDocument/2006/relationships/hyperlink" Target="https://www.sec.gov/ix?doc=/Archives/edgar/data/0001165002/000116500221000089/whg-20211027.htm" TargetMode="External"/><Relationship Id="rId8" Type="http://schemas.openxmlformats.org/officeDocument/2006/relationships/hyperlink" Target="https://www.sec.gov/Archives/edgar/data/1165002/000093066102001393/d1012ba.txt"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12097</Words>
  <Characters>68648</Characters>
  <CharactersWithSpaces>79735</CharactersWithSpaces>
  <Paragraphs>1985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