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CASEY BRIAN O</w:t>
              </w:r>
            </w:hyperlink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 w:line="205" w:lineRule="exact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WESTWOOD HOLDINGS GROUP INC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[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WHG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9"/>
        </w:trPr>
        <w:tc>
          <w:tcPr>
            <w:tcW w:w="2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3860" w:type="dxa"/>
            <w:vAlign w:val="bottom"/>
          </w:tcPr>
          <w:p>
            <w:pPr>
              <w:ind w:left="10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08/07/2020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1200</w:t>
            </w:r>
          </w:p>
        </w:tc>
        <w:tc>
          <w:tcPr>
            <w:tcW w:w="3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8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193040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08/07/2020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11.3562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366,170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8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Price reflected is the weighted-average sale price for shares sold. The range of sale prices for the transactions reported was $11.34 to $11.36 per share. Full information regarding the number of shares sold at each separate price will be provided to the Commission staff, the issuer, or a security holder of the issuer upon request.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Julie K. Gerron. as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08/07/2020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71437" TargetMode="External"/><Relationship Id="rId14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2020-08-07T17:17:39Z</dcterms:created>
  <dcterms:modified xsi:type="dcterms:W3CDTF">2020-08-07T17:17:39Z</dcterms:modified>
</cp:coreProperties>
</file>