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9"/>
        <w:spacing w:after="0"/>
        <w:rPr>
          <w:sz w:val="20"/>
          <w:szCs w:val="20"/>
          <w:color w:val="auto"/>
        </w:rPr>
      </w:pPr>
      <w:r>
        <w:rPr>
          <w:rFonts w:ascii="Arial" w:cs="Arial" w:eastAsia="Arial" w:hAnsi="Arial"/>
          <w:sz w:val="20"/>
          <w:szCs w:val="20"/>
          <w:color w:val="auto"/>
        </w:rPr>
        <w:t>SECURITIES AND EXCHANGE COMMISSION</w:t>
      </w:r>
    </w:p>
    <w:p>
      <w:pPr>
        <w:spacing w:after="0" w:line="16" w:lineRule="exact"/>
        <w:rPr>
          <w:sz w:val="24"/>
          <w:szCs w:val="24"/>
          <w:color w:val="auto"/>
        </w:rPr>
      </w:pPr>
    </w:p>
    <w:p>
      <w:pPr>
        <w:jc w:val="center"/>
        <w:ind w:right="-339"/>
        <w:spacing w:after="0"/>
        <w:rPr>
          <w:sz w:val="20"/>
          <w:szCs w:val="20"/>
          <w:color w:val="auto"/>
        </w:rPr>
      </w:pPr>
      <w:r>
        <w:rPr>
          <w:rFonts w:ascii="Arial" w:cs="Arial" w:eastAsia="Arial" w:hAnsi="Arial"/>
          <w:sz w:val="20"/>
          <w:szCs w:val="20"/>
          <w:color w:val="auto"/>
        </w:rPr>
        <w:t>WASHINGTON, DC 20549</w:t>
      </w:r>
    </w:p>
    <w:p>
      <w:pPr>
        <w:spacing w:after="0" w:line="200" w:lineRule="exact"/>
        <w:rPr>
          <w:sz w:val="24"/>
          <w:szCs w:val="24"/>
          <w:color w:val="auto"/>
        </w:rPr>
      </w:pPr>
    </w:p>
    <w:p>
      <w:pPr>
        <w:spacing w:after="0" w:line="243" w:lineRule="exact"/>
        <w:rPr>
          <w:sz w:val="24"/>
          <w:szCs w:val="24"/>
          <w:color w:val="auto"/>
        </w:rPr>
      </w:pPr>
    </w:p>
    <w:p>
      <w:pPr>
        <w:jc w:val="center"/>
        <w:ind w:right="-339"/>
        <w:spacing w:after="0"/>
        <w:rPr>
          <w:sz w:val="20"/>
          <w:szCs w:val="20"/>
          <w:color w:val="auto"/>
        </w:rPr>
      </w:pPr>
      <w:r>
        <w:rPr>
          <w:rFonts w:ascii="Arial" w:cs="Arial" w:eastAsia="Arial" w:hAnsi="Arial"/>
          <w:sz w:val="20"/>
          <w:szCs w:val="20"/>
          <w:color w:val="auto"/>
        </w:rPr>
        <w:t>FORM 8-K</w:t>
      </w:r>
    </w:p>
    <w:p>
      <w:pPr>
        <w:spacing w:after="0" w:line="229" w:lineRule="exact"/>
        <w:rPr>
          <w:sz w:val="24"/>
          <w:szCs w:val="24"/>
          <w:color w:val="auto"/>
        </w:rPr>
      </w:pPr>
    </w:p>
    <w:p>
      <w:pPr>
        <w:jc w:val="center"/>
        <w:ind w:right="-339"/>
        <w:spacing w:after="0"/>
        <w:rPr>
          <w:sz w:val="20"/>
          <w:szCs w:val="20"/>
          <w:color w:val="auto"/>
        </w:rPr>
      </w:pPr>
      <w:r>
        <w:rPr>
          <w:rFonts w:ascii="Arial" w:cs="Arial" w:eastAsia="Arial" w:hAnsi="Arial"/>
          <w:sz w:val="20"/>
          <w:szCs w:val="20"/>
          <w:color w:val="auto"/>
        </w:rPr>
        <w:t>CURRENT REPORT</w:t>
      </w:r>
    </w:p>
    <w:p>
      <w:pPr>
        <w:spacing w:after="0" w:line="15" w:lineRule="exact"/>
        <w:rPr>
          <w:sz w:val="24"/>
          <w:szCs w:val="24"/>
          <w:color w:val="auto"/>
        </w:rPr>
      </w:pPr>
    </w:p>
    <w:p>
      <w:pPr>
        <w:jc w:val="center"/>
        <w:ind w:right="-339"/>
        <w:spacing w:after="0"/>
        <w:rPr>
          <w:sz w:val="20"/>
          <w:szCs w:val="20"/>
          <w:color w:val="auto"/>
        </w:rPr>
      </w:pPr>
      <w:r>
        <w:rPr>
          <w:rFonts w:ascii="Arial" w:cs="Arial" w:eastAsia="Arial" w:hAnsi="Arial"/>
          <w:sz w:val="20"/>
          <w:szCs w:val="20"/>
          <w:color w:val="auto"/>
        </w:rPr>
        <w:t>Pursuant to Section 13 or 15(d) of the</w:t>
      </w:r>
    </w:p>
    <w:p>
      <w:pPr>
        <w:jc w:val="center"/>
        <w:ind w:right="-339"/>
        <w:spacing w:after="0"/>
        <w:rPr>
          <w:sz w:val="20"/>
          <w:szCs w:val="20"/>
          <w:color w:val="auto"/>
        </w:rPr>
      </w:pPr>
      <w:r>
        <w:rPr>
          <w:rFonts w:ascii="Arial" w:cs="Arial" w:eastAsia="Arial" w:hAnsi="Arial"/>
          <w:sz w:val="20"/>
          <w:szCs w:val="20"/>
          <w:color w:val="auto"/>
        </w:rPr>
        <w:t>Securities Exchange Act of 1934</w:t>
      </w:r>
    </w:p>
    <w:p>
      <w:pPr>
        <w:spacing w:after="0" w:line="213" w:lineRule="exact"/>
        <w:rPr>
          <w:sz w:val="24"/>
          <w:szCs w:val="24"/>
          <w:color w:val="auto"/>
        </w:rPr>
      </w:pPr>
    </w:p>
    <w:p>
      <w:pPr>
        <w:jc w:val="center"/>
        <w:ind w:right="-339"/>
        <w:spacing w:after="0"/>
        <w:rPr>
          <w:sz w:val="20"/>
          <w:szCs w:val="20"/>
          <w:color w:val="auto"/>
        </w:rPr>
      </w:pPr>
      <w:r>
        <w:rPr>
          <w:rFonts w:ascii="Arial" w:cs="Arial" w:eastAsia="Arial" w:hAnsi="Arial"/>
          <w:sz w:val="20"/>
          <w:szCs w:val="20"/>
          <w:color w:val="auto"/>
        </w:rPr>
        <w:t>Date of Report (Date of earliest event reported): February 8, 2018</w:t>
      </w:r>
    </w:p>
    <w:p>
      <w:pPr>
        <w:spacing w:after="0" w:line="229" w:lineRule="exact"/>
        <w:rPr>
          <w:sz w:val="24"/>
          <w:szCs w:val="24"/>
          <w:color w:val="auto"/>
        </w:rPr>
      </w:pPr>
    </w:p>
    <w:p>
      <w:pPr>
        <w:jc w:val="center"/>
        <w:ind w:right="-339"/>
        <w:spacing w:after="0"/>
        <w:rPr>
          <w:sz w:val="20"/>
          <w:szCs w:val="20"/>
          <w:color w:val="auto"/>
        </w:rPr>
      </w:pPr>
      <w:r>
        <w:rPr>
          <w:rFonts w:ascii="Arial" w:cs="Arial" w:eastAsia="Arial" w:hAnsi="Arial"/>
          <w:sz w:val="20"/>
          <w:szCs w:val="20"/>
          <w:color w:val="auto"/>
        </w:rPr>
        <w:t>WESTWOOD HOLDINGS GROUP, INC.</w:t>
      </w:r>
    </w:p>
    <w:p>
      <w:pPr>
        <w:spacing w:after="0" w:line="16" w:lineRule="exact"/>
        <w:rPr>
          <w:sz w:val="24"/>
          <w:szCs w:val="24"/>
          <w:color w:val="auto"/>
        </w:rPr>
      </w:pPr>
    </w:p>
    <w:p>
      <w:pPr>
        <w:jc w:val="center"/>
        <w:ind w:right="-339"/>
        <w:spacing w:after="0"/>
        <w:rPr>
          <w:sz w:val="20"/>
          <w:szCs w:val="20"/>
          <w:color w:val="auto"/>
        </w:rPr>
      </w:pPr>
      <w:r>
        <w:rPr>
          <w:rFonts w:ascii="Arial" w:cs="Arial" w:eastAsia="Arial" w:hAnsi="Arial"/>
          <w:sz w:val="20"/>
          <w:szCs w:val="20"/>
          <w:color w:val="auto"/>
        </w:rPr>
        <w:t>(Exact name of registrant as specified in charter)</w:t>
      </w:r>
    </w:p>
    <w:p>
      <w:pPr>
        <w:spacing w:after="0" w:line="200" w:lineRule="exact"/>
        <w:rPr>
          <w:sz w:val="24"/>
          <w:szCs w:val="24"/>
          <w:color w:val="auto"/>
        </w:rPr>
      </w:pPr>
    </w:p>
    <w:p>
      <w:pPr>
        <w:spacing w:after="0" w:line="243" w:lineRule="exact"/>
        <w:rPr>
          <w:sz w:val="24"/>
          <w:szCs w:val="24"/>
          <w:color w:val="auto"/>
        </w:rPr>
      </w:pPr>
    </w:p>
    <w:p>
      <w:pPr>
        <w:ind w:left="500"/>
        <w:spacing w:after="0"/>
        <w:tabs>
          <w:tab w:leader="none" w:pos="1440" w:val="left"/>
          <w:tab w:leader="none" w:pos="2480" w:val="left"/>
        </w:tabs>
        <w:rPr>
          <w:sz w:val="20"/>
          <w:szCs w:val="20"/>
          <w:color w:val="auto"/>
        </w:rPr>
      </w:pPr>
      <w:r>
        <w:rPr>
          <w:rFonts w:ascii="Arial" w:cs="Arial" w:eastAsia="Arial" w:hAnsi="Arial"/>
          <w:sz w:val="20"/>
          <w:szCs w:val="20"/>
          <w:color w:val="auto"/>
        </w:rPr>
        <w:t>Delaware</w:t>
        <w:tab/>
        <w:t>001-31234</w:t>
      </w:r>
      <w:r>
        <w:rPr>
          <w:sz w:val="20"/>
          <w:szCs w:val="20"/>
          <w:color w:val="auto"/>
        </w:rPr>
        <w:tab/>
      </w:r>
      <w:r>
        <w:rPr>
          <w:rFonts w:ascii="Arial" w:cs="Arial" w:eastAsia="Arial" w:hAnsi="Arial"/>
          <w:sz w:val="16"/>
          <w:szCs w:val="16"/>
          <w:color w:val="auto"/>
        </w:rPr>
        <w:t>75-2969997</w:t>
      </w:r>
    </w:p>
    <w:p>
      <w:pPr>
        <w:spacing w:after="0" w:line="15" w:lineRule="exact"/>
        <w:rPr>
          <w:sz w:val="24"/>
          <w:szCs w:val="24"/>
          <w:color w:val="auto"/>
        </w:rPr>
      </w:pPr>
    </w:p>
    <w:p>
      <w:pPr>
        <w:spacing w:after="0"/>
        <w:tabs>
          <w:tab w:leader="none" w:pos="2260" w:val="left"/>
          <w:tab w:leader="none" w:pos="3540" w:val="left"/>
        </w:tabs>
        <w:rPr>
          <w:sz w:val="20"/>
          <w:szCs w:val="20"/>
          <w:color w:val="auto"/>
        </w:rPr>
      </w:pPr>
      <w:r>
        <w:rPr>
          <w:rFonts w:ascii="Arial" w:cs="Arial" w:eastAsia="Arial" w:hAnsi="Arial"/>
          <w:sz w:val="20"/>
          <w:szCs w:val="20"/>
          <w:color w:val="auto"/>
        </w:rPr>
        <w:t>(State or other jurisdiction</w:t>
        <w:tab/>
        <w:t>(Commission</w:t>
      </w:r>
      <w:r>
        <w:rPr>
          <w:sz w:val="20"/>
          <w:szCs w:val="20"/>
          <w:color w:val="auto"/>
        </w:rPr>
        <w:tab/>
      </w:r>
      <w:r>
        <w:rPr>
          <w:rFonts w:ascii="Arial" w:cs="Arial" w:eastAsia="Arial" w:hAnsi="Arial"/>
          <w:sz w:val="18"/>
          <w:szCs w:val="18"/>
          <w:color w:val="auto"/>
        </w:rPr>
        <w:t>(IRS Employer</w:t>
      </w:r>
    </w:p>
    <w:p>
      <w:pPr>
        <w:ind w:left="340"/>
        <w:spacing w:after="0"/>
        <w:tabs>
          <w:tab w:leader="none" w:pos="1900" w:val="left"/>
          <w:tab w:leader="none" w:pos="3180" w:val="left"/>
        </w:tabs>
        <w:rPr>
          <w:sz w:val="20"/>
          <w:szCs w:val="20"/>
          <w:color w:val="auto"/>
        </w:rPr>
      </w:pPr>
      <w:r>
        <w:rPr>
          <w:rFonts w:ascii="Arial" w:cs="Arial" w:eastAsia="Arial" w:hAnsi="Arial"/>
          <w:sz w:val="20"/>
          <w:szCs w:val="20"/>
          <w:color w:val="auto"/>
        </w:rPr>
        <w:t>of incorporation)</w:t>
        <w:tab/>
        <w:t>File Number)</w:t>
      </w:r>
      <w:r>
        <w:rPr>
          <w:sz w:val="20"/>
          <w:szCs w:val="20"/>
          <w:color w:val="auto"/>
        </w:rPr>
        <w:tab/>
      </w:r>
      <w:r>
        <w:rPr>
          <w:rFonts w:ascii="Arial" w:cs="Arial" w:eastAsia="Arial" w:hAnsi="Arial"/>
          <w:sz w:val="18"/>
          <w:szCs w:val="18"/>
          <w:color w:val="auto"/>
        </w:rPr>
        <w:t>Identification No.)</w:t>
      </w: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ind w:right="-339"/>
        <w:spacing w:after="0"/>
        <w:rPr>
          <w:sz w:val="20"/>
          <w:szCs w:val="20"/>
          <w:color w:val="auto"/>
        </w:rPr>
      </w:pPr>
      <w:r>
        <w:rPr>
          <w:rFonts w:ascii="Arial" w:cs="Arial" w:eastAsia="Arial" w:hAnsi="Arial"/>
          <w:sz w:val="20"/>
          <w:szCs w:val="20"/>
          <w:color w:val="auto"/>
        </w:rPr>
        <w:t>200 Crescent Court, Suite 1200</w:t>
      </w:r>
    </w:p>
    <w:p>
      <w:pPr>
        <w:spacing w:after="0" w:line="15" w:lineRule="exact"/>
        <w:rPr>
          <w:sz w:val="24"/>
          <w:szCs w:val="24"/>
          <w:color w:val="auto"/>
        </w:rPr>
      </w:pPr>
    </w:p>
    <w:p>
      <w:pPr>
        <w:jc w:val="center"/>
        <w:ind w:right="-339"/>
        <w:spacing w:after="0"/>
        <w:rPr>
          <w:sz w:val="20"/>
          <w:szCs w:val="20"/>
          <w:color w:val="auto"/>
        </w:rPr>
      </w:pPr>
      <w:r>
        <w:rPr>
          <w:rFonts w:ascii="Arial" w:cs="Arial" w:eastAsia="Arial" w:hAnsi="Arial"/>
          <w:sz w:val="20"/>
          <w:szCs w:val="20"/>
          <w:color w:val="auto"/>
        </w:rPr>
        <w:t>Dallas, Texas 75201</w:t>
      </w:r>
    </w:p>
    <w:p>
      <w:pPr>
        <w:jc w:val="center"/>
        <w:ind w:right="-339"/>
        <w:spacing w:after="0"/>
        <w:rPr>
          <w:sz w:val="20"/>
          <w:szCs w:val="20"/>
          <w:color w:val="auto"/>
        </w:rPr>
      </w:pPr>
      <w:r>
        <w:rPr>
          <w:rFonts w:ascii="Arial" w:cs="Arial" w:eastAsia="Arial" w:hAnsi="Arial"/>
          <w:sz w:val="20"/>
          <w:szCs w:val="20"/>
          <w:color w:val="auto"/>
        </w:rPr>
        <w:t>(Address of principal executive offices)</w:t>
      </w:r>
    </w:p>
    <w:p>
      <w:pPr>
        <w:spacing w:after="0" w:line="213" w:lineRule="exact"/>
        <w:rPr>
          <w:sz w:val="24"/>
          <w:szCs w:val="24"/>
          <w:color w:val="auto"/>
        </w:rPr>
      </w:pPr>
    </w:p>
    <w:p>
      <w:pPr>
        <w:jc w:val="center"/>
        <w:ind w:right="-339"/>
        <w:spacing w:after="0"/>
        <w:rPr>
          <w:sz w:val="20"/>
          <w:szCs w:val="20"/>
          <w:color w:val="auto"/>
        </w:rPr>
      </w:pPr>
      <w:r>
        <w:rPr>
          <w:rFonts w:ascii="Arial" w:cs="Arial" w:eastAsia="Arial" w:hAnsi="Arial"/>
          <w:sz w:val="20"/>
          <w:szCs w:val="20"/>
          <w:color w:val="auto"/>
        </w:rPr>
        <w:t>(214) 756-6900</w:t>
      </w:r>
    </w:p>
    <w:p>
      <w:pPr>
        <w:spacing w:after="0" w:line="16" w:lineRule="exact"/>
        <w:rPr>
          <w:sz w:val="24"/>
          <w:szCs w:val="24"/>
          <w:color w:val="auto"/>
        </w:rPr>
      </w:pPr>
    </w:p>
    <w:p>
      <w:pPr>
        <w:jc w:val="center"/>
        <w:ind w:right="-339"/>
        <w:spacing w:after="0"/>
        <w:rPr>
          <w:sz w:val="20"/>
          <w:szCs w:val="20"/>
          <w:color w:val="auto"/>
        </w:rPr>
      </w:pPr>
      <w:r>
        <w:rPr>
          <w:rFonts w:ascii="Arial" w:cs="Arial" w:eastAsia="Arial" w:hAnsi="Arial"/>
          <w:sz w:val="20"/>
          <w:szCs w:val="20"/>
          <w:color w:val="auto"/>
        </w:rPr>
        <w:t>(Registrant's telephone number, including area code)</w:t>
      </w:r>
    </w:p>
    <w:p>
      <w:pPr>
        <w:spacing w:after="0" w:line="200" w:lineRule="exact"/>
        <w:rPr>
          <w:sz w:val="24"/>
          <w:szCs w:val="24"/>
          <w:color w:val="auto"/>
        </w:rPr>
      </w:pPr>
    </w:p>
    <w:p>
      <w:pPr>
        <w:spacing w:after="0" w:line="283" w:lineRule="exact"/>
        <w:rPr>
          <w:sz w:val="24"/>
          <w:szCs w:val="24"/>
          <w:color w:val="auto"/>
        </w:rPr>
      </w:pPr>
    </w:p>
    <w:p>
      <w:pPr>
        <w:ind w:firstLine="324"/>
        <w:spacing w:after="0" w:line="289" w:lineRule="auto"/>
        <w:rPr>
          <w:sz w:val="20"/>
          <w:szCs w:val="20"/>
          <w:color w:val="auto"/>
        </w:rPr>
      </w:pPr>
      <w:r>
        <w:rPr>
          <w:rFonts w:ascii="Arial" w:cs="Arial" w:eastAsia="Arial" w:hAnsi="Arial"/>
          <w:sz w:val="20"/>
          <w:szCs w:val="20"/>
          <w:color w:val="auto"/>
        </w:rPr>
        <w:t>Check the appropriate box below if the Form 8-K filing is intended to simultaneously satisfy the filing obligation of the registrant under any of the following provisions (</w:t>
      </w:r>
      <w:r>
        <w:rPr>
          <w:rFonts w:ascii="Arial" w:cs="Arial" w:eastAsia="Arial" w:hAnsi="Arial"/>
          <w:sz w:val="20"/>
          <w:szCs w:val="20"/>
          <w:i w:val="1"/>
          <w:iCs w:val="1"/>
          <w:color w:val="auto"/>
        </w:rPr>
        <w:t>see</w:t>
      </w:r>
      <w:r>
        <w:rPr>
          <w:rFonts w:ascii="Arial" w:cs="Arial" w:eastAsia="Arial" w:hAnsi="Arial"/>
          <w:sz w:val="20"/>
          <w:szCs w:val="20"/>
          <w:color w:val="auto"/>
        </w:rPr>
        <w:t xml:space="preserve"> General Instruction A.2. below):</w:t>
      </w:r>
    </w:p>
    <w:p>
      <w:pPr>
        <w:spacing w:after="0" w:line="227" w:lineRule="exact"/>
        <w:rPr>
          <w:sz w:val="24"/>
          <w:szCs w:val="24"/>
          <w:color w:val="auto"/>
        </w:rPr>
      </w:pPr>
    </w:p>
    <w:p>
      <w:pPr>
        <w:ind w:left="640" w:hanging="308"/>
        <w:spacing w:after="0"/>
        <w:tabs>
          <w:tab w:leader="none" w:pos="640" w:val="left"/>
        </w:tabs>
        <w:numPr>
          <w:ilvl w:val="0"/>
          <w:numId w:val="1"/>
        </w:numPr>
        <w:rPr>
          <w:rFonts w:ascii="Arial" w:cs="Arial" w:eastAsia="Arial" w:hAnsi="Arial"/>
          <w:sz w:val="22"/>
          <w:szCs w:val="22"/>
          <w:color w:val="auto"/>
        </w:rPr>
      </w:pPr>
      <w:r>
        <w:rPr>
          <w:rFonts w:ascii="Arial" w:cs="Arial" w:eastAsia="Arial" w:hAnsi="Arial"/>
          <w:sz w:val="20"/>
          <w:szCs w:val="20"/>
          <w:color w:val="auto"/>
        </w:rPr>
        <w:t>Written communications pursuant to Rule 425 under the Securities Act (17 CFR 230.425)</w:t>
      </w:r>
    </w:p>
    <w:p>
      <w:pPr>
        <w:spacing w:after="0" w:line="273" w:lineRule="exact"/>
        <w:rPr>
          <w:rFonts w:ascii="Arial" w:cs="Arial" w:eastAsia="Arial" w:hAnsi="Arial"/>
          <w:sz w:val="22"/>
          <w:szCs w:val="22"/>
          <w:color w:val="auto"/>
        </w:rPr>
      </w:pPr>
    </w:p>
    <w:p>
      <w:pPr>
        <w:ind w:left="640" w:hanging="308"/>
        <w:spacing w:after="0"/>
        <w:tabs>
          <w:tab w:leader="none" w:pos="640" w:val="left"/>
        </w:tabs>
        <w:numPr>
          <w:ilvl w:val="0"/>
          <w:numId w:val="1"/>
        </w:numPr>
        <w:rPr>
          <w:rFonts w:ascii="Arial" w:cs="Arial" w:eastAsia="Arial" w:hAnsi="Arial"/>
          <w:sz w:val="22"/>
          <w:szCs w:val="22"/>
          <w:color w:val="auto"/>
        </w:rPr>
      </w:pPr>
      <w:r>
        <w:rPr>
          <w:rFonts w:ascii="Arial" w:cs="Arial" w:eastAsia="Arial" w:hAnsi="Arial"/>
          <w:sz w:val="20"/>
          <w:szCs w:val="20"/>
          <w:color w:val="auto"/>
        </w:rPr>
        <w:t>Soliciting material pursuant to Rule 14a-12 under the Exchange Act (17 CFR 240.14a-12)</w:t>
      </w:r>
    </w:p>
    <w:p>
      <w:pPr>
        <w:spacing w:after="0" w:line="273" w:lineRule="exact"/>
        <w:rPr>
          <w:rFonts w:ascii="Arial" w:cs="Arial" w:eastAsia="Arial" w:hAnsi="Arial"/>
          <w:sz w:val="22"/>
          <w:szCs w:val="22"/>
          <w:color w:val="auto"/>
        </w:rPr>
      </w:pPr>
    </w:p>
    <w:p>
      <w:pPr>
        <w:ind w:left="640" w:hanging="308"/>
        <w:spacing w:after="0"/>
        <w:tabs>
          <w:tab w:leader="none" w:pos="640" w:val="left"/>
        </w:tabs>
        <w:numPr>
          <w:ilvl w:val="0"/>
          <w:numId w:val="1"/>
        </w:numPr>
        <w:rPr>
          <w:rFonts w:ascii="Arial" w:cs="Arial" w:eastAsia="Arial" w:hAnsi="Arial"/>
          <w:sz w:val="22"/>
          <w:szCs w:val="22"/>
          <w:color w:val="auto"/>
        </w:rPr>
      </w:pPr>
      <w:r>
        <w:rPr>
          <w:rFonts w:ascii="Arial" w:cs="Arial" w:eastAsia="Arial" w:hAnsi="Arial"/>
          <w:sz w:val="20"/>
          <w:szCs w:val="20"/>
          <w:color w:val="auto"/>
        </w:rPr>
        <w:t>Pre-commencement communications pursuant to Rule 14d-2(b) under the Exchange Act (17 CFR 240.14d-2(b))</w:t>
      </w:r>
    </w:p>
    <w:p>
      <w:pPr>
        <w:spacing w:after="0" w:line="273" w:lineRule="exact"/>
        <w:rPr>
          <w:rFonts w:ascii="Arial" w:cs="Arial" w:eastAsia="Arial" w:hAnsi="Arial"/>
          <w:sz w:val="22"/>
          <w:szCs w:val="22"/>
          <w:color w:val="auto"/>
        </w:rPr>
      </w:pPr>
    </w:p>
    <w:p>
      <w:pPr>
        <w:ind w:left="640" w:hanging="308"/>
        <w:spacing w:after="0"/>
        <w:tabs>
          <w:tab w:leader="none" w:pos="640" w:val="left"/>
        </w:tabs>
        <w:numPr>
          <w:ilvl w:val="0"/>
          <w:numId w:val="1"/>
        </w:numPr>
        <w:rPr>
          <w:rFonts w:ascii="Arial" w:cs="Arial" w:eastAsia="Arial" w:hAnsi="Arial"/>
          <w:sz w:val="22"/>
          <w:szCs w:val="22"/>
          <w:color w:val="auto"/>
        </w:rPr>
      </w:pPr>
      <w:r>
        <w:rPr>
          <w:rFonts w:ascii="Arial" w:cs="Arial" w:eastAsia="Arial" w:hAnsi="Arial"/>
          <w:sz w:val="20"/>
          <w:szCs w:val="20"/>
          <w:color w:val="auto"/>
        </w:rPr>
        <w:t>Pre-commencement communications pursuant to Rule 13e-4(c) under the Exchange Act (17 CFR 240.13e-4(c))</w:t>
      </w:r>
    </w:p>
    <w:p>
      <w:pPr>
        <w:sectPr>
          <w:pgSz w:w="11900" w:h="16838" w:orient="portrait"/>
          <w:cols w:equalWidth="0" w:num="1">
            <w:col w:w="11100"/>
          </w:cols>
          <w:pgMar w:left="240" w:top="690" w:right="55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20"/>
          <w:szCs w:val="20"/>
          <w:color w:val="auto"/>
        </w:rPr>
        <w:t>ITEM 2.02:</w:t>
      </w:r>
      <w:r>
        <w:rPr>
          <w:sz w:val="20"/>
          <w:szCs w:val="20"/>
          <w:color w:val="auto"/>
        </w:rPr>
        <w:tab/>
      </w:r>
      <w:r>
        <w:rPr>
          <w:rFonts w:ascii="Arial" w:cs="Arial" w:eastAsia="Arial" w:hAnsi="Arial"/>
          <w:sz w:val="19"/>
          <w:szCs w:val="19"/>
          <w:color w:val="auto"/>
        </w:rPr>
        <w:t>RESULTS OF OPERATIONS AND FINANCIAL CONDITION</w:t>
      </w:r>
    </w:p>
    <w:p>
      <w:pPr>
        <w:spacing w:after="0" w:line="229" w:lineRule="exact"/>
        <w:rPr>
          <w:sz w:val="20"/>
          <w:szCs w:val="20"/>
          <w:color w:val="auto"/>
        </w:rPr>
      </w:pPr>
    </w:p>
    <w:p>
      <w:pPr>
        <w:ind w:right="80"/>
        <w:spacing w:after="0" w:line="250" w:lineRule="auto"/>
        <w:rPr>
          <w:sz w:val="20"/>
          <w:szCs w:val="20"/>
          <w:color w:val="auto"/>
        </w:rPr>
      </w:pPr>
      <w:r>
        <w:rPr>
          <w:rFonts w:ascii="Arial" w:cs="Arial" w:eastAsia="Arial" w:hAnsi="Arial"/>
          <w:sz w:val="20"/>
          <w:szCs w:val="20"/>
          <w:color w:val="auto"/>
        </w:rPr>
        <w:t>In accordance with Securities and Exchange Commission Release No. 34-47583, the following information, which is being furnished pursuant to the requirements of Item 2.02, “Results of Operations and Financial Condition,” is being reported under Item 7.01, “Regulation FD Disclosure.”</w:t>
      </w:r>
    </w:p>
    <w:p>
      <w:pPr>
        <w:spacing w:after="0" w:line="200" w:lineRule="exact"/>
        <w:rPr>
          <w:sz w:val="20"/>
          <w:szCs w:val="20"/>
          <w:color w:val="auto"/>
        </w:rPr>
      </w:pPr>
    </w:p>
    <w:p>
      <w:pPr>
        <w:jc w:val="both"/>
        <w:ind w:right="120"/>
        <w:spacing w:after="0" w:line="250" w:lineRule="auto"/>
        <w:rPr>
          <w:sz w:val="20"/>
          <w:szCs w:val="20"/>
          <w:color w:val="auto"/>
        </w:rPr>
      </w:pPr>
      <w:r>
        <w:rPr>
          <w:rFonts w:ascii="Arial" w:cs="Arial" w:eastAsia="Arial" w:hAnsi="Arial"/>
          <w:sz w:val="20"/>
          <w:szCs w:val="20"/>
          <w:color w:val="auto"/>
        </w:rPr>
        <w:t>On February 8, 2018, Westwood Holdings Group, Inc. (“Westwood”) issued a press release entitled “Westwood Holdings Group, Inc. Reports Fourth Quarter and Fiscal Year 2017 Results; Assets Under Management Reach Record $24.2 Billion”, a copy of which is furnished with this Current Report on Form 8-K as Exhibit 99.1.</w:t>
      </w:r>
    </w:p>
    <w:p>
      <w:pPr>
        <w:spacing w:after="0" w:line="200"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The information in this Current Report on Form 8-K, including Exhibit 99.1, shall not be deemed to be “filed” for the purposes of Section 18 of the Securities Exchange Act of 1934 (the “Exchange Act”), as amended, or otherwise subject to the liabilities of that Section, nor shall it be incorporated by reference in any filing under the Securities Act of 1933, as amended, or the Exchange Act, except as otherwise expressly stated in such filing.</w:t>
      </w:r>
    </w:p>
    <w:p>
      <w:pPr>
        <w:spacing w:after="0" w:line="205" w:lineRule="exact"/>
        <w:rPr>
          <w:sz w:val="20"/>
          <w:szCs w:val="20"/>
          <w:color w:val="auto"/>
        </w:rPr>
      </w:pPr>
    </w:p>
    <w:p>
      <w:pPr>
        <w:spacing w:after="0"/>
        <w:tabs>
          <w:tab w:leader="none" w:pos="1120" w:val="left"/>
        </w:tabs>
        <w:rPr>
          <w:sz w:val="20"/>
          <w:szCs w:val="20"/>
          <w:color w:val="auto"/>
        </w:rPr>
      </w:pPr>
      <w:r>
        <w:rPr>
          <w:rFonts w:ascii="Arial" w:cs="Arial" w:eastAsia="Arial" w:hAnsi="Arial"/>
          <w:sz w:val="20"/>
          <w:szCs w:val="20"/>
          <w:color w:val="auto"/>
        </w:rPr>
        <w:t>ITEM 7.01:</w:t>
      </w:r>
      <w:r>
        <w:rPr>
          <w:sz w:val="20"/>
          <w:szCs w:val="20"/>
          <w:color w:val="auto"/>
        </w:rPr>
        <w:tab/>
      </w:r>
      <w:r>
        <w:rPr>
          <w:rFonts w:ascii="Arial" w:cs="Arial" w:eastAsia="Arial" w:hAnsi="Arial"/>
          <w:sz w:val="18"/>
          <w:szCs w:val="18"/>
          <w:color w:val="auto"/>
        </w:rPr>
        <w:t>REGULATION FD DISCLOSURE</w:t>
      </w:r>
    </w:p>
    <w:p>
      <w:pPr>
        <w:spacing w:after="0" w:line="229" w:lineRule="exact"/>
        <w:rPr>
          <w:sz w:val="20"/>
          <w:szCs w:val="20"/>
          <w:color w:val="auto"/>
        </w:rPr>
      </w:pPr>
    </w:p>
    <w:p>
      <w:pPr>
        <w:ind w:right="380"/>
        <w:spacing w:after="0" w:line="260" w:lineRule="auto"/>
        <w:rPr>
          <w:sz w:val="20"/>
          <w:szCs w:val="20"/>
          <w:color w:val="auto"/>
        </w:rPr>
      </w:pPr>
      <w:r>
        <w:rPr>
          <w:rFonts w:ascii="Arial" w:cs="Arial" w:eastAsia="Arial" w:hAnsi="Arial"/>
          <w:sz w:val="20"/>
          <w:szCs w:val="20"/>
          <w:color w:val="auto"/>
        </w:rPr>
        <w:t>Westwood announced today that its Board of Directors has approved the payment of a quarterly cash dividend of $0.68 per common share, payable on April 2, 2018 to stockholders of record on March 9, 2018.</w:t>
      </w:r>
    </w:p>
    <w:p>
      <w:pPr>
        <w:spacing w:after="0" w:line="190" w:lineRule="exact"/>
        <w:rPr>
          <w:sz w:val="20"/>
          <w:szCs w:val="20"/>
          <w:color w:val="auto"/>
        </w:rPr>
      </w:pPr>
    </w:p>
    <w:p>
      <w:pPr>
        <w:spacing w:after="0"/>
        <w:tabs>
          <w:tab w:leader="none" w:pos="1120" w:val="left"/>
        </w:tabs>
        <w:rPr>
          <w:sz w:val="20"/>
          <w:szCs w:val="20"/>
          <w:color w:val="auto"/>
        </w:rPr>
      </w:pPr>
      <w:r>
        <w:rPr>
          <w:rFonts w:ascii="Arial" w:cs="Arial" w:eastAsia="Arial" w:hAnsi="Arial"/>
          <w:sz w:val="20"/>
          <w:szCs w:val="20"/>
          <w:color w:val="auto"/>
        </w:rPr>
        <w:t>ITEM 9.01:</w:t>
      </w:r>
      <w:r>
        <w:rPr>
          <w:sz w:val="20"/>
          <w:szCs w:val="20"/>
          <w:color w:val="auto"/>
        </w:rPr>
        <w:tab/>
      </w:r>
      <w:r>
        <w:rPr>
          <w:rFonts w:ascii="Arial" w:cs="Arial" w:eastAsia="Arial" w:hAnsi="Arial"/>
          <w:sz w:val="19"/>
          <w:szCs w:val="19"/>
          <w:color w:val="auto"/>
        </w:rPr>
        <w:t>FINANCIAL STATEMENTS AND EXHIBITS</w:t>
      </w:r>
    </w:p>
    <w:p>
      <w:pPr>
        <w:spacing w:after="0" w:line="229" w:lineRule="exact"/>
        <w:rPr>
          <w:sz w:val="20"/>
          <w:szCs w:val="20"/>
          <w:color w:val="auto"/>
        </w:rPr>
      </w:pPr>
    </w:p>
    <w:p>
      <w:pPr>
        <w:ind w:left="440" w:hanging="432"/>
        <w:spacing w:after="0"/>
        <w:tabs>
          <w:tab w:leader="none" w:pos="440" w:val="left"/>
        </w:tabs>
        <w:numPr>
          <w:ilvl w:val="0"/>
          <w:numId w:val="2"/>
        </w:numPr>
        <w:rPr>
          <w:rFonts w:ascii="Arial" w:cs="Arial" w:eastAsia="Arial" w:hAnsi="Arial"/>
          <w:sz w:val="20"/>
          <w:szCs w:val="20"/>
          <w:color w:val="auto"/>
        </w:rPr>
      </w:pPr>
      <w:r>
        <w:rPr>
          <w:rFonts w:ascii="Arial" w:cs="Arial" w:eastAsia="Arial" w:hAnsi="Arial"/>
          <w:sz w:val="20"/>
          <w:szCs w:val="20"/>
          <w:color w:val="auto"/>
        </w:rPr>
        <w:t>Exhibits: The following exhibit is furnished with this report:</w:t>
      </w:r>
    </w:p>
    <w:p>
      <w:pPr>
        <w:sectPr>
          <w:pgSz w:w="11900" w:h="16838" w:orient="portrait"/>
          <w:cols w:equalWidth="0" w:num="1">
            <w:col w:w="11380"/>
          </w:cols>
          <w:pgMar w:left="240" w:top="582" w:right="27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Exhibit Number</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Description</w:t>
      </w:r>
    </w:p>
    <w:p>
      <w:pPr>
        <w:spacing w:after="0" w:line="200" w:lineRule="exact"/>
        <w:rPr>
          <w:sz w:val="20"/>
          <w:szCs w:val="20"/>
          <w:color w:val="auto"/>
        </w:rPr>
      </w:pPr>
    </w:p>
    <w:p>
      <w:pPr>
        <w:sectPr>
          <w:pgSz w:w="11900" w:h="16838" w:orient="portrait"/>
          <w:cols w:equalWidth="0" w:num="2">
            <w:col w:w="1560" w:space="720"/>
            <w:col w:w="9100"/>
          </w:cols>
          <w:pgMar w:left="240" w:top="582" w:right="279" w:bottom="1440" w:gutter="0" w:footer="0" w:header="0"/>
          <w:type w:val="continuous"/>
        </w:sectPr>
      </w:pPr>
    </w:p>
    <w:p>
      <w:pPr>
        <w:spacing w:after="0" w:line="52" w:lineRule="exact"/>
        <w:rPr>
          <w:sz w:val="20"/>
          <w:szCs w:val="20"/>
          <w:color w:val="auto"/>
        </w:rPr>
      </w:pPr>
    </w:p>
    <w:p>
      <w:pPr>
        <w:ind w:left="1300" w:right="100" w:hanging="1296"/>
        <w:spacing w:after="0" w:line="260" w:lineRule="auto"/>
        <w:tabs>
          <w:tab w:leader="none" w:pos="1280" w:val="left"/>
        </w:tabs>
        <w:rPr>
          <w:sz w:val="20"/>
          <w:szCs w:val="20"/>
          <w:color w:val="auto"/>
        </w:rPr>
      </w:pPr>
      <w:r>
        <w:rPr>
          <w:rFonts w:ascii="Arial" w:cs="Arial" w:eastAsia="Arial" w:hAnsi="Arial"/>
          <w:sz w:val="20"/>
          <w:szCs w:val="20"/>
          <w:color w:val="auto"/>
        </w:rPr>
        <w:t>99.1</w:t>
      </w:r>
      <w:r>
        <w:rPr>
          <w:sz w:val="20"/>
          <w:szCs w:val="20"/>
          <w:color w:val="auto"/>
        </w:rPr>
        <w:tab/>
      </w:r>
      <w:r>
        <w:rPr>
          <w:rFonts w:ascii="Arial" w:cs="Arial" w:eastAsia="Arial" w:hAnsi="Arial"/>
          <w:sz w:val="20"/>
          <w:szCs w:val="20"/>
          <w:color w:val="auto"/>
        </w:rPr>
        <w:t>Press Release dated February 8, 2018, entitled “Westwood Holdings Group, Inc. Reports Fourth Quarter and Fiscal Year 2017 Results; Assets Under Management Reach Record $24.2 Billion".</w:t>
      </w:r>
    </w:p>
    <w:p>
      <w:pPr>
        <w:sectPr>
          <w:pgSz w:w="11900" w:h="16838" w:orient="portrait"/>
          <w:cols w:equalWidth="0" w:num="1">
            <w:col w:w="11380"/>
          </w:cols>
          <w:pgMar w:left="240" w:top="582" w:right="27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20"/>
          <w:szCs w:val="20"/>
          <w:color w:val="auto"/>
        </w:rPr>
        <w:t>SIGNATURES</w:t>
      </w:r>
    </w:p>
    <w:p>
      <w:pPr>
        <w:spacing w:after="0" w:line="229"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Date: February 8, 2018</w:t>
      </w:r>
    </w:p>
    <w:p>
      <w:pPr>
        <w:spacing w:after="0" w:line="200" w:lineRule="exact"/>
        <w:rPr>
          <w:sz w:val="20"/>
          <w:szCs w:val="20"/>
          <w:color w:val="auto"/>
        </w:rPr>
      </w:pPr>
    </w:p>
    <w:p>
      <w:pPr>
        <w:spacing w:after="0" w:line="259" w:lineRule="exact"/>
        <w:rPr>
          <w:sz w:val="20"/>
          <w:szCs w:val="20"/>
          <w:color w:val="auto"/>
        </w:rPr>
      </w:pPr>
    </w:p>
    <w:p>
      <w:pPr>
        <w:jc w:val="center"/>
        <w:ind w:right="220"/>
        <w:spacing w:after="0"/>
        <w:rPr>
          <w:sz w:val="20"/>
          <w:szCs w:val="20"/>
          <w:color w:val="auto"/>
        </w:rPr>
      </w:pPr>
      <w:r>
        <w:rPr>
          <w:rFonts w:ascii="Arial" w:cs="Arial" w:eastAsia="Arial" w:hAnsi="Arial"/>
          <w:sz w:val="20"/>
          <w:szCs w:val="20"/>
          <w:color w:val="auto"/>
        </w:rPr>
        <w:t>WESTWOOD HOLDINGS GROUP, INC.</w:t>
      </w:r>
    </w:p>
    <w:p>
      <w:pPr>
        <w:spacing w:after="0" w:line="200" w:lineRule="exact"/>
        <w:rPr>
          <w:sz w:val="20"/>
          <w:szCs w:val="20"/>
          <w:color w:val="auto"/>
        </w:rPr>
      </w:pPr>
    </w:p>
    <w:p>
      <w:pPr>
        <w:spacing w:after="0" w:line="259"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9"/>
          <w:szCs w:val="19"/>
          <w:color w:val="auto"/>
        </w:rPr>
        <w:t>/s/ Tiffany B. Kice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2781935</wp:posOffset>
            </wp:positionH>
            <wp:positionV relativeFrom="paragraph">
              <wp:posOffset>-14605</wp:posOffset>
            </wp:positionV>
            <wp:extent cx="11868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6815" cy="8890"/>
                    </a:xfrm>
                    <a:prstGeom prst="rect">
                      <a:avLst/>
                    </a:prstGeom>
                    <a:noFill/>
                  </pic:spPr>
                </pic:pic>
              </a:graphicData>
            </a:graphic>
          </wp:anchor>
        </w:drawing>
      </w:r>
    </w:p>
    <w:p>
      <w:pPr>
        <w:ind w:left="4540"/>
        <w:spacing w:after="0"/>
        <w:rPr>
          <w:sz w:val="20"/>
          <w:szCs w:val="20"/>
          <w:color w:val="auto"/>
        </w:rPr>
      </w:pPr>
      <w:r>
        <w:rPr>
          <w:rFonts w:ascii="Arial" w:cs="Arial" w:eastAsia="Arial" w:hAnsi="Arial"/>
          <w:sz w:val="20"/>
          <w:szCs w:val="20"/>
          <w:color w:val="auto"/>
        </w:rPr>
        <w:t>Tiffany B. Kice</w:t>
      </w:r>
    </w:p>
    <w:p>
      <w:pPr>
        <w:ind w:left="4540"/>
        <w:spacing w:after="0"/>
        <w:rPr>
          <w:sz w:val="20"/>
          <w:szCs w:val="20"/>
          <w:color w:val="auto"/>
        </w:rPr>
      </w:pPr>
      <w:r>
        <w:rPr>
          <w:rFonts w:ascii="Arial" w:cs="Arial" w:eastAsia="Arial" w:hAnsi="Arial"/>
          <w:sz w:val="20"/>
          <w:szCs w:val="20"/>
          <w:color w:val="auto"/>
        </w:rPr>
        <w:t>Chief Financial Officer and Treasurer</w:t>
      </w:r>
    </w:p>
    <w:p>
      <w:pPr>
        <w:sectPr>
          <w:pgSz w:w="11900" w:h="16838" w:orient="portrait"/>
          <w:cols w:equalWidth="0" w:num="1">
            <w:col w:w="11420"/>
          </w:cols>
          <w:pgMar w:left="240" w:top="582"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6360" w:type="dxa"/>
            <w:vAlign w:val="bottom"/>
            <w:gridSpan w:val="3"/>
          </w:tcPr>
          <w:p>
            <w:pPr>
              <w:spacing w:after="0"/>
              <w:rPr>
                <w:sz w:val="20"/>
                <w:szCs w:val="20"/>
                <w:color w:val="auto"/>
              </w:rPr>
            </w:pPr>
            <w:r>
              <w:rPr>
                <w:rFonts w:ascii="Arial" w:cs="Arial" w:eastAsia="Arial" w:hAnsi="Arial"/>
                <w:sz w:val="20"/>
                <w:szCs w:val="20"/>
                <w:color w:val="auto"/>
              </w:rPr>
              <w:t>EXHIBIT INDEX</w:t>
            </w:r>
          </w:p>
        </w:tc>
      </w:tr>
      <w:tr>
        <w:trPr>
          <w:trHeight w:val="439"/>
        </w:trPr>
        <w:tc>
          <w:tcPr>
            <w:tcW w:w="1480" w:type="dxa"/>
            <w:vAlign w:val="bottom"/>
          </w:tcPr>
          <w:p>
            <w:pPr>
              <w:spacing w:after="0"/>
              <w:rPr>
                <w:sz w:val="20"/>
                <w:szCs w:val="20"/>
                <w:color w:val="auto"/>
              </w:rPr>
            </w:pPr>
            <w:r>
              <w:rPr>
                <w:rFonts w:ascii="Arial" w:cs="Arial" w:eastAsia="Arial" w:hAnsi="Arial"/>
                <w:sz w:val="20"/>
                <w:szCs w:val="20"/>
                <w:color w:val="auto"/>
              </w:rPr>
              <w:t>Exhibit Number</w:t>
            </w:r>
          </w:p>
        </w:tc>
        <w:tc>
          <w:tcPr>
            <w:tcW w:w="200" w:type="dxa"/>
            <w:vAlign w:val="bottom"/>
          </w:tcPr>
          <w:p>
            <w:pPr>
              <w:spacing w:after="0"/>
              <w:rPr>
                <w:sz w:val="24"/>
                <w:szCs w:val="24"/>
                <w:color w:val="auto"/>
              </w:rPr>
            </w:pPr>
          </w:p>
        </w:tc>
        <w:tc>
          <w:tcPr>
            <w:tcW w:w="3300" w:type="dxa"/>
            <w:vAlign w:val="bottom"/>
            <w:gridSpan w:val="3"/>
          </w:tcPr>
          <w:p>
            <w:pPr>
              <w:spacing w:after="0"/>
              <w:rPr>
                <w:sz w:val="20"/>
                <w:szCs w:val="20"/>
                <w:color w:val="auto"/>
              </w:rPr>
            </w:pPr>
            <w:r>
              <w:rPr>
                <w:rFonts w:ascii="Arial" w:cs="Arial" w:eastAsia="Arial" w:hAnsi="Arial"/>
                <w:sz w:val="20"/>
                <w:szCs w:val="20"/>
                <w:color w:val="auto"/>
              </w:rPr>
              <w:t>Description</w:t>
            </w:r>
          </w:p>
        </w:tc>
        <w:tc>
          <w:tcPr>
            <w:tcW w:w="1460" w:type="dxa"/>
            <w:vAlign w:val="bottom"/>
            <w:tcBorders>
              <w:top w:val="single" w:sz="8" w:color="auto"/>
            </w:tcBorders>
          </w:tcPr>
          <w:p>
            <w:pPr>
              <w:spacing w:after="0"/>
              <w:rPr>
                <w:sz w:val="24"/>
                <w:szCs w:val="24"/>
                <w:color w:val="auto"/>
              </w:rPr>
            </w:pPr>
          </w:p>
        </w:tc>
        <w:tc>
          <w:tcPr>
            <w:tcW w:w="4900" w:type="dxa"/>
            <w:vAlign w:val="bottom"/>
            <w:gridSpan w:val="2"/>
          </w:tcPr>
          <w:p>
            <w:pPr>
              <w:spacing w:after="0"/>
              <w:rPr>
                <w:sz w:val="24"/>
                <w:szCs w:val="24"/>
                <w:color w:val="auto"/>
              </w:rPr>
            </w:pPr>
          </w:p>
        </w:tc>
      </w:tr>
      <w:tr>
        <w:trPr>
          <w:trHeight w:val="20"/>
        </w:trPr>
        <w:tc>
          <w:tcPr>
            <w:tcW w:w="1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500" w:type="dxa"/>
            <w:vAlign w:val="bottom"/>
            <w:gridSpan w:val="3"/>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466"/>
        </w:trPr>
        <w:tc>
          <w:tcPr>
            <w:tcW w:w="1480" w:type="dxa"/>
            <w:vAlign w:val="bottom"/>
          </w:tcPr>
          <w:p>
            <w:pPr>
              <w:spacing w:after="0"/>
              <w:rPr>
                <w:sz w:val="20"/>
                <w:szCs w:val="20"/>
                <w:color w:val="auto"/>
              </w:rPr>
            </w:pPr>
            <w:r>
              <w:rPr>
                <w:rFonts w:ascii="Arial" w:cs="Arial" w:eastAsia="Arial" w:hAnsi="Arial"/>
                <w:sz w:val="20"/>
                <w:szCs w:val="20"/>
                <w:color w:val="auto"/>
              </w:rPr>
              <w:t>99.1</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380" w:type="dxa"/>
            <w:vAlign w:val="bottom"/>
            <w:tcBorders>
              <w:bottom w:val="single" w:sz="8" w:color="0000FF"/>
            </w:tcBorders>
            <w:gridSpan w:val="5"/>
          </w:tcPr>
          <w:p>
            <w:pPr>
              <w:spacing w:after="0"/>
              <w:rPr>
                <w:rFonts w:ascii="Arial" w:cs="Arial" w:eastAsia="Arial" w:hAnsi="Arial"/>
                <w:sz w:val="22"/>
                <w:szCs w:val="22"/>
                <w:color w:val="0000FF"/>
                <w:w w:val="88"/>
              </w:rPr>
            </w:pPr>
            <w:hyperlink w:anchor="page5">
              <w:r>
                <w:rPr>
                  <w:rFonts w:ascii="Arial" w:cs="Arial" w:eastAsia="Arial" w:hAnsi="Arial"/>
                  <w:sz w:val="22"/>
                  <w:szCs w:val="22"/>
                  <w:color w:val="0000FF"/>
                  <w:w w:val="88"/>
                </w:rPr>
                <w:t>Press Release dated February 8, 2018, entitled “Westwood Holdings Group, Inc. Reports Fourth Quarter and</w:t>
              </w:r>
            </w:hyperlink>
          </w:p>
        </w:tc>
      </w:tr>
      <w:tr>
        <w:trPr>
          <w:trHeight w:val="237"/>
        </w:trPr>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380" w:type="dxa"/>
            <w:vAlign w:val="bottom"/>
            <w:gridSpan w:val="5"/>
          </w:tcPr>
          <w:p>
            <w:pPr>
              <w:spacing w:after="0" w:line="237" w:lineRule="exact"/>
              <w:rPr>
                <w:rFonts w:ascii="Arial" w:cs="Arial" w:eastAsia="Arial" w:hAnsi="Arial"/>
                <w:sz w:val="22"/>
                <w:szCs w:val="22"/>
                <w:color w:val="0000FF"/>
              </w:rPr>
            </w:pPr>
            <w:hyperlink w:anchor="page5">
              <w:r>
                <w:rPr>
                  <w:rFonts w:ascii="Arial" w:cs="Arial" w:eastAsia="Arial" w:hAnsi="Arial"/>
                  <w:sz w:val="22"/>
                  <w:szCs w:val="22"/>
                  <w:color w:val="0000FF"/>
                </w:rPr>
                <w:t xml:space="preserve">Fiscal Year 2017 Results; Assets Under Management Reach Record </w:t>
              </w:r>
              <w:r>
                <w:rPr>
                  <w:rFonts w:ascii="Arial" w:cs="Arial" w:eastAsia="Arial" w:hAnsi="Arial"/>
                  <w:sz w:val="22"/>
                  <w:szCs w:val="22"/>
                  <w:u w:val="single" w:color="auto"/>
                  <w:color w:val="0000FF"/>
                </w:rPr>
                <w:t>$</w:t>
              </w:r>
              <w:r>
                <w:rPr>
                  <w:rFonts w:ascii="Arial" w:cs="Arial" w:eastAsia="Arial" w:hAnsi="Arial"/>
                  <w:sz w:val="22"/>
                  <w:szCs w:val="22"/>
                  <w:color w:val="0000FF"/>
                </w:rPr>
                <w:t>24.2 Billion"</w:t>
              </w:r>
            </w:hyperlink>
          </w:p>
        </w:tc>
      </w:tr>
      <w:tr>
        <w:trPr>
          <w:trHeight w:val="20"/>
        </w:trPr>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660" w:type="dxa"/>
            <w:vAlign w:val="bottom"/>
            <w:shd w:val="clear" w:color="auto" w:fill="0000FF"/>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bl>
    <w:p>
      <w:pPr>
        <w:sectPr>
          <w:pgSz w:w="11900" w:h="16838" w:orient="portrait"/>
          <w:cols w:equalWidth="0" w:num="1">
            <w:col w:w="11340"/>
          </w:cols>
          <w:pgMar w:left="240" w:top="787" w:right="31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2644775</wp:posOffset>
            </wp:positionH>
            <wp:positionV relativeFrom="page">
              <wp:posOffset>568960</wp:posOffset>
            </wp:positionV>
            <wp:extent cx="2272665" cy="7200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272665" cy="7200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Westwood Holdings Group, Inc. Reports Fourth Quarter and Fiscal Year 2017 Results</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Assets Under Management Reach Record $24.2 Billion</w:t>
      </w:r>
    </w:p>
    <w:p>
      <w:pPr>
        <w:spacing w:after="0" w:line="266"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Dallas, TX, February 8, 2018 – Westwood Holdings Group, Inc. (NYSE: WHG) today reported fourth quarter revenues of $33.9 million, compared to revenues of $31.1 million in the fourth quarter of 2016 and $33.5 million in the third quarter of 2017. The increases primarily related to higher average assets under management ("AUM") due to market appreciation.</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AUM at December 31, 2017 totaled $24.2 billion, up from $21.2 billion and $23.6 billion at December 31, 2016 and September 30, 2017, respectively.</w:t>
      </w:r>
    </w:p>
    <w:p>
      <w:pPr>
        <w:spacing w:after="0" w:line="14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We recorded $3.4 million in incremental income tax expense during the current quarter as a result of the tax reforms enacted in December 2017. This was primarily due to the mandatory deemed repatriation of earnings from our Canadian subsidiary and adjustments to deferred taxes reflecting the decrease in the federal tax rate.</w:t>
      </w:r>
    </w:p>
    <w:p>
      <w:pPr>
        <w:spacing w:after="0" w:line="159"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Fourth quarter net income was $2.9 million compared with $7.6 million for the fourth quarter of 2016. The decrease primarily related to the tax reform noted above and higher employee compensation costs related to performance compensation and headcount increases, partially offset by higher total revenues. Diluted earnings per share ("Diluted EPS") of $0.34 compared to $0.92 for the fourth quarter of 2016. Non-GAAP Economic Earnings for the quarter decreased from $12.0 million, or $1.45 per share, in 2016's fourth quarter to $7.6 million, or $0.89 per share, in the fourth quarter of 2017.</w:t>
      </w:r>
    </w:p>
    <w:p>
      <w:pPr>
        <w:spacing w:after="0" w:line="120"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Fourth quarter net income totaled $2.9 million compared with $4.1 million in the third quarter of 2017. The decrease was primarily due to the additional income tax expense as noted above, reduced by a one-time $2.5 million legal settlement charge, net of insurance recovery and taxes, which only impacted the third quarter of 2017. Diluted EPS for the quarter of $0.34 compared to $0.49 for the third quarter of 2017. Non-GAAP Economic Earnings for the quarter of $7.6 million, or $0.89 per share, compared to $9.0 million, or $1.07 per share, in the immediately preceding quarter.</w:t>
      </w:r>
    </w:p>
    <w:p>
      <w:pPr>
        <w:spacing w:after="0" w:line="149"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Total revenues for fiscal 2017 were $133.8 million compared to $123.0 million in 2016. The increase was due to a $7.7 million increase in asset-based advisory fees and a $1.3 million increase in Trust fees reflecting higher average AUM, coupled with a $0.8 million increase in performance-based advisory fees earned in 2017.</w:t>
      </w:r>
    </w:p>
    <w:p>
      <w:pPr>
        <w:spacing w:after="0" w:line="159"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Net income for 2017 totaled $20.0 million, down from 2016's $22.6 million, primarily due to the $2.5 million legal settlement charge and incremental income tax expense, both noted above, partially offset by higher total revenues. Diluted EPS was $2.38 compared with $2.77 for 2016. Economic EPS was $4.63 compared with $5.03 in 2016.</w:t>
      </w:r>
    </w:p>
    <w:p>
      <w:pPr>
        <w:sectPr>
          <w:pgSz w:w="11900" w:h="16838" w:orient="portrait"/>
          <w:cols w:equalWidth="0" w:num="1">
            <w:col w:w="11420"/>
          </w:cols>
          <w:pgMar w:left="240" w:top="1440"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color w:val="auto"/>
        </w:rPr>
        <w:t>Highlights of our fourth quarter include:</w:t>
      </w:r>
    </w:p>
    <w:p>
      <w:pPr>
        <w:spacing w:after="0" w:line="166" w:lineRule="exact"/>
        <w:rPr>
          <w:sz w:val="20"/>
          <w:szCs w:val="20"/>
          <w:color w:val="auto"/>
        </w:rPr>
      </w:pPr>
    </w:p>
    <w:p>
      <w:pPr>
        <w:ind w:left="660" w:hanging="328"/>
        <w:spacing w:after="0" w:line="263"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Revenues of $33.9 million increased $2.8 million from the fourth quarter of 2016 and were relatively flat with the third quarter of 2017.</w:t>
      </w:r>
    </w:p>
    <w:p>
      <w:pPr>
        <w:spacing w:after="0" w:line="120"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$3.4 million of incremental income tax expense was recorded related to tax reform.</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AUM reached a record $24.2 billion.</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Top quartile performance was achieved by our LargeCap Value and AllCap Value teams.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A 10% increase was declared in our quarterly cash dividend rate to $0.68 per common share.</w:t>
      </w:r>
    </w:p>
    <w:p>
      <w:pPr>
        <w:spacing w:after="0" w:line="220"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Brian Casey, Westwood’s President &amp; CEO, commented, “We were pleased to end the year with strong absolute and relative performance for our U.S. Value strategies. Our LargeCap and AllCap Value strategies delivered top quartile performance in the fourth quarter, while our SmallCap Value strategy finished the year with performance in the top third of its peer group. Looking to 2018, our focus remains, as it has for nearly 35 years, on identifying high-quality businesses with undervalued prospects and downside protection. Additionally, we are pleased to announce that the sale of our Omaha-based private wealth operations closed on January 12, 2018, with cash proceeds of $10.5 million.”</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Westwood’s Board of Directors declared a quarterly cash dividend of $0.68 per common share, payable on April 2, 2018 to stockholders of record on March 9, 2018. At year end, Westwood had $105.6 million in cash and investments, stockholders’ equity of $156.4 million, and no debt.</w:t>
      </w:r>
    </w:p>
    <w:p>
      <w:pPr>
        <w:spacing w:after="0" w:line="22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Economic Earnings and Economic EPS are non-GAAP performance measures and are explained and reconciled with the most comparable GAAP numbers in the attached tables.</w:t>
      </w:r>
    </w:p>
    <w:p>
      <w:pPr>
        <w:spacing w:after="0" w:line="215"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Westwood will host a conference call to discuss fourth quarter and fiscal year 2017 results and other business matters at 4:30 p.m. Eastern time today. To join the conference call, dial 877-303-6235 (U.S. and Canada) or 631-291-4837 (international). The conference call can also be accessed via our Investor Relations page at westwoodgroup.com and will be available for replay through February 15, 2018 by dialing 855-859-2056 (U.S. and Canada) or 404-537-3406 (international) and entering the passcode 4693546.</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Westwood</w:t>
      </w:r>
    </w:p>
    <w:p>
      <w:pPr>
        <w:spacing w:after="0" w:line="266"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Westwood Holdings Group, Inc. provides investment management services to institutional investors, private wealth clients and financial intermediaries. With $24.2 billion in assets under management (as of December 31, 2017), our firm offers a range of investment strategies including U.S. equities, Master Limited Partnerships (MLPs), Multi-Asset, Global and Emerging Markets equities, and Global Convertible securities portfolios. Access to these strategies is available through separate accounts, the Westwood Funds® family of mutual funds, UCITS funds and other pooled vehicles. Westwood benefits from significant, broad-based employee ownership and trades on the New York Stock Exchange under the symbol “WHG.” Based in Dallas, Westwood also maintains offices in Toronto, Boston and Houston.</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For more information on Westwood, please visit westwoodgroup.com.</w:t>
      </w:r>
    </w:p>
    <w:p>
      <w:pPr>
        <w:sectPr>
          <w:pgSz w:w="11900" w:h="16838" w:orient="portrait"/>
          <w:cols w:equalWidth="0" w:num="1">
            <w:col w:w="11420"/>
          </w:cols>
          <w:pgMar w:left="240" w:top="631" w:right="2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Forward-looking Statements</w:t>
      </w:r>
    </w:p>
    <w:p>
      <w:pPr>
        <w:spacing w:after="0" w:line="266"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Statements in this press release that are not purely historical facts, including, without limitation, statements about our expected future financial position, results of operations or cash flows, as well as other statements including without limitation, words such as “anticipate,” “forecast,” “believe,” “plan,” “estimate,” “expect,” “intend,” “should,” “could,” “goal,” “may,” “target,” “designed,” “on track,” “comfortable with,” “optimistic” and other similar expressions, constitute forward-looking statements within the meaning of Section 27A of the Securities Act of 1933, as amended, and Section 21E of the Securities Exchange Act of 1934, as amended. Actual results and the timing of some events could differ materially from those projected in or contemplated by the forward-looking statements due to a number of factors, including, without limitation: the composition and market value of our assets under management; regulations adversely affecting the financial services industry; competition in the investment management industry; our assets under management include investments in foreign companies; our ability to develop and market new investment strategies successfully; our relationships with current and potential customers; our ability to retain qualified personnel; our ability to perform operational tasks; our ability to maintain effective cyber security; our ability to identify and execute on our strategic initiatives; our ability to select and oversee third party vendors; our ability to maintain effective information systems; litigation risks; our ability to properly address conflicts of interest; our ability to maintain adequate insurance coverage; our ability to maintain an effective system of internal controls; our ability to maintain our fee structure in light of competitive fee pressures; our relationships with investment consulting firms; the significant concentration of our revenues in a small number of customers; and the other risks detailed from time to time in Westwood’s SEC filings, including, but not limited to, its annual report on Form 10-K for the year ended December 31, 2016 and its quarterly reports on Form 10-Q for the quarters ended March 31, 2017, June 30, 2017, and September 30, 2017. You are cautioned not to place undue reliance on these forward-looking statements, which speak only as of the date of this press release. Except as required by law, Westwood is not obligated to publicly release any revisions to these forward-looking statements to reflect events or circumstances after the date of this press release or to reflect the occurrence of unanticipated events.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 # #</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SOURCE: Westwood Holdings Group, Inc.</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(WHG-G)</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Westwood Holdings Group,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Tiffany B. Kice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Chief Financial Officer and Treasurer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(214) 756-6900</w:t>
      </w:r>
    </w:p>
    <w:p>
      <w:pPr>
        <w:sectPr>
          <w:pgSz w:w="11900" w:h="16838" w:orient="portrait"/>
          <w:cols w:equalWidth="0" w:num="1">
            <w:col w:w="11420"/>
          </w:cols>
          <w:pgMar w:left="240" w:top="882" w:right="2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WESTWOOD HOLDINGS GROUP, INC. AND SUBSIDIARIES</w:t>
      </w:r>
    </w:p>
    <w:p>
      <w:pPr>
        <w:spacing w:after="0" w:line="28" w:lineRule="exact"/>
        <w:rPr>
          <w:sz w:val="20"/>
          <w:szCs w:val="20"/>
          <w:color w:val="auto"/>
        </w:rPr>
      </w:pPr>
    </w:p>
    <w:p>
      <w:pPr>
        <w:ind w:right="3460"/>
        <w:spacing w:after="0" w:line="246" w:lineRule="auto"/>
        <w:rPr>
          <w:sz w:val="20"/>
          <w:szCs w:val="20"/>
          <w:color w:val="auto"/>
        </w:rPr>
      </w:pPr>
      <w:r>
        <w:rPr>
          <w:rFonts w:ascii="Arial" w:cs="Arial" w:eastAsia="Arial" w:hAnsi="Arial"/>
          <w:sz w:val="22"/>
          <w:szCs w:val="22"/>
          <w:b w:val="1"/>
          <w:bCs w:val="1"/>
          <w:color w:val="auto"/>
        </w:rPr>
        <w:t>CONDENSED CONSOLIDATED STATEMENTS OF COMPREHENSIVE INCOME (in thousands, except per share and share amounts)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80" w:type="dxa"/>
            <w:vAlign w:val="bottom"/>
            <w:gridSpan w:val="4"/>
          </w:tcPr>
          <w:p>
            <w:pPr>
              <w:jc w:val="center"/>
              <w:spacing w:after="0"/>
              <w:rPr>
                <w:sz w:val="20"/>
                <w:szCs w:val="20"/>
                <w:color w:val="auto"/>
              </w:rPr>
            </w:pPr>
            <w:r>
              <w:rPr>
                <w:rFonts w:ascii="Arial" w:cs="Arial" w:eastAsia="Arial" w:hAnsi="Arial"/>
                <w:sz w:val="16"/>
                <w:szCs w:val="16"/>
                <w:b w:val="1"/>
                <w:bCs w:val="1"/>
                <w:color w:val="auto"/>
                <w:w w:val="93"/>
              </w:rPr>
              <w:t>Three Months Ended</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47"/>
        </w:trPr>
        <w:tc>
          <w:tcPr>
            <w:tcW w:w="674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gridSpan w:val="2"/>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r>
      <w:tr>
        <w:trPr>
          <w:trHeight w:val="209"/>
        </w:trPr>
        <w:tc>
          <w:tcPr>
            <w:tcW w:w="6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ind w:right="211"/>
              <w:spacing w:after="0"/>
              <w:rPr>
                <w:sz w:val="20"/>
                <w:szCs w:val="20"/>
                <w:color w:val="auto"/>
              </w:rPr>
            </w:pPr>
            <w:r>
              <w:rPr>
                <w:rFonts w:ascii="Arial" w:cs="Arial" w:eastAsia="Arial" w:hAnsi="Arial"/>
                <w:sz w:val="16"/>
                <w:szCs w:val="16"/>
                <w:b w:val="1"/>
                <w:bCs w:val="1"/>
                <w:color w:val="auto"/>
                <w:w w:val="96"/>
              </w:rPr>
              <w:t>December 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September 30,</w:t>
            </w:r>
          </w:p>
        </w:tc>
        <w:tc>
          <w:tcPr>
            <w:tcW w:w="180" w:type="dxa"/>
            <w:vAlign w:val="bottom"/>
          </w:tcPr>
          <w:p>
            <w:pPr>
              <w:spacing w:after="0"/>
              <w:rPr>
                <w:sz w:val="18"/>
                <w:szCs w:val="18"/>
                <w:color w:val="auto"/>
              </w:rPr>
            </w:pPr>
          </w:p>
        </w:tc>
        <w:tc>
          <w:tcPr>
            <w:tcW w:w="1300" w:type="dxa"/>
            <w:vAlign w:val="bottom"/>
          </w:tcPr>
          <w:p>
            <w:pPr>
              <w:jc w:val="right"/>
              <w:ind w:right="191"/>
              <w:spacing w:after="0"/>
              <w:rPr>
                <w:sz w:val="20"/>
                <w:szCs w:val="20"/>
                <w:color w:val="auto"/>
              </w:rPr>
            </w:pPr>
            <w:r>
              <w:rPr>
                <w:rFonts w:ascii="Arial" w:cs="Arial" w:eastAsia="Arial" w:hAnsi="Arial"/>
                <w:sz w:val="16"/>
                <w:szCs w:val="16"/>
                <w:b w:val="1"/>
                <w:bCs w:val="1"/>
                <w:color w:val="auto"/>
                <w:w w:val="96"/>
              </w:rPr>
              <w:t>December 31,</w:t>
            </w:r>
          </w:p>
        </w:tc>
      </w:tr>
      <w:tr>
        <w:trPr>
          <w:trHeight w:val="210"/>
        </w:trPr>
        <w:tc>
          <w:tcPr>
            <w:tcW w:w="6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ind w:right="51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1"/>
              <w:spacing w:after="0"/>
              <w:rPr>
                <w:sz w:val="20"/>
                <w:szCs w:val="20"/>
                <w:color w:val="auto"/>
              </w:rPr>
            </w:pPr>
            <w:r>
              <w:rPr>
                <w:rFonts w:ascii="Arial" w:cs="Arial" w:eastAsia="Arial" w:hAnsi="Arial"/>
                <w:sz w:val="16"/>
                <w:szCs w:val="16"/>
                <w:b w:val="1"/>
                <w:bCs w:val="1"/>
                <w:color w:val="auto"/>
                <w:w w:val="89"/>
              </w:rPr>
              <w:t>2017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1"/>
              <w:spacing w:after="0"/>
              <w:rPr>
                <w:sz w:val="20"/>
                <w:szCs w:val="20"/>
                <w:color w:val="auto"/>
              </w:rPr>
            </w:pPr>
            <w:r>
              <w:rPr>
                <w:rFonts w:ascii="Arial" w:cs="Arial" w:eastAsia="Arial" w:hAnsi="Arial"/>
                <w:sz w:val="16"/>
                <w:szCs w:val="16"/>
                <w:b w:val="1"/>
                <w:bCs w:val="1"/>
                <w:color w:val="auto"/>
              </w:rPr>
              <w:t>2016</w:t>
            </w:r>
          </w:p>
        </w:tc>
      </w:tr>
      <w:tr>
        <w:trPr>
          <w:trHeight w:val="33"/>
        </w:trPr>
        <w:tc>
          <w:tcPr>
            <w:tcW w:w="6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Advisory fees:</w:t>
            </w: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Asset-based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25,576</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23,564</w:t>
            </w:r>
          </w:p>
        </w:tc>
      </w:tr>
      <w:tr>
        <w:trPr>
          <w:trHeight w:val="243"/>
        </w:trPr>
        <w:tc>
          <w:tcPr>
            <w:tcW w:w="6740" w:type="dxa"/>
            <w:vAlign w:val="bottom"/>
          </w:tcPr>
          <w:p>
            <w:pPr>
              <w:ind w:left="720"/>
              <w:spacing w:after="0"/>
              <w:rPr>
                <w:sz w:val="20"/>
                <w:szCs w:val="20"/>
                <w:color w:val="auto"/>
              </w:rPr>
            </w:pPr>
            <w:r>
              <w:rPr>
                <w:rFonts w:ascii="Arial" w:cs="Arial" w:eastAsia="Arial" w:hAnsi="Arial"/>
                <w:sz w:val="18"/>
                <w:szCs w:val="18"/>
                <w:color w:val="auto"/>
              </w:rPr>
              <w:t>Performance-based</w:t>
            </w:r>
          </w:p>
        </w:tc>
        <w:tc>
          <w:tcPr>
            <w:tcW w:w="2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Trust fees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7,515</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Other, net</w:t>
            </w:r>
          </w:p>
        </w:tc>
        <w:tc>
          <w:tcPr>
            <w:tcW w:w="2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13</w:t>
            </w:r>
          </w:p>
        </w:tc>
      </w:tr>
      <w:tr>
        <w:trPr>
          <w:trHeight w:val="27"/>
        </w:trPr>
        <w:tc>
          <w:tcPr>
            <w:tcW w:w="6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33,914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33,492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31,092</w:t>
            </w:r>
          </w:p>
        </w:tc>
      </w:tr>
      <w:tr>
        <w:trPr>
          <w:trHeight w:val="264"/>
        </w:trPr>
        <w:tc>
          <w:tcPr>
            <w:tcW w:w="674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EXPENSES: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Employee compensation and benefits</w:t>
            </w:r>
          </w:p>
        </w:tc>
        <w:tc>
          <w:tcPr>
            <w:tcW w:w="2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16,080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15,601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14,270</w:t>
            </w: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Sales and marketing</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496</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Westwood mutual funds</w:t>
            </w:r>
          </w:p>
        </w:tc>
        <w:tc>
          <w:tcPr>
            <w:tcW w:w="2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1,189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977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873</w:t>
            </w: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Information technology</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1,696</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Professional services</w:t>
            </w:r>
          </w:p>
        </w:tc>
        <w:tc>
          <w:tcPr>
            <w:tcW w:w="2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1,421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1,681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915</w:t>
            </w: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Legal settlement</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2,550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3,160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2,043</w:t>
            </w:r>
          </w:p>
        </w:tc>
      </w:tr>
      <w:tr>
        <w:trPr>
          <w:trHeight w:val="27"/>
        </w:trPr>
        <w:tc>
          <w:tcPr>
            <w:tcW w:w="6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expenses</w:t>
            </w:r>
          </w:p>
        </w:tc>
        <w:tc>
          <w:tcPr>
            <w:tcW w:w="2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24,126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27,740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20,293</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9,788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5,752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10,799</w:t>
            </w: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income taxes</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6,891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3,222</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2,897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4,132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7,577</w:t>
            </w:r>
          </w:p>
        </w:tc>
      </w:tr>
      <w:tr>
        <w:trPr>
          <w:trHeight w:val="67"/>
        </w:trPr>
        <w:tc>
          <w:tcPr>
            <w:tcW w:w="674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r>
      <w:tr>
        <w:trPr>
          <w:trHeight w:val="231"/>
        </w:trPr>
        <w:tc>
          <w:tcPr>
            <w:tcW w:w="67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Other comprehensive income (loss):</w:t>
            </w: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43"/>
        </w:trPr>
        <w:tc>
          <w:tcPr>
            <w:tcW w:w="6740" w:type="dxa"/>
            <w:vAlign w:val="bottom"/>
          </w:tcPr>
          <w:p>
            <w:pPr>
              <w:ind w:left="42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1,297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(606)</w:t>
            </w:r>
          </w:p>
        </w:tc>
      </w:tr>
      <w:tr>
        <w:trPr>
          <w:trHeight w:val="27"/>
        </w:trPr>
        <w:tc>
          <w:tcPr>
            <w:tcW w:w="6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2,982</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5,429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6,971</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6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share:</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0.35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0.51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0.95</w:t>
            </w: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0.34</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0.92</w:t>
            </w:r>
          </w:p>
        </w:tc>
      </w:tr>
      <w:tr>
        <w:trPr>
          <w:trHeight w:val="297"/>
        </w:trPr>
        <w:tc>
          <w:tcPr>
            <w:tcW w:w="6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8,181,546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8,171,809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7,988,558</w:t>
            </w: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8,546,936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8,420,749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8,261,274</w:t>
            </w:r>
          </w:p>
        </w:tc>
      </w:tr>
      <w:tr>
        <w:trPr>
          <w:trHeight w:val="297"/>
        </w:trPr>
        <w:tc>
          <w:tcPr>
            <w:tcW w:w="6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Economic Earnings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7,609</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12,014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Economic EPS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0.89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1.45</w:t>
            </w: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97"/>
        </w:trPr>
        <w:tc>
          <w:tcPr>
            <w:tcW w:w="67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Dividends declared per share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0.68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0.62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0.62</w:t>
            </w:r>
          </w:p>
        </w:tc>
      </w:tr>
    </w:tbl>
    <w:p>
      <w:pPr>
        <w:sectPr>
          <w:pgSz w:w="11900" w:h="16838" w:orient="portrait"/>
          <w:cols w:equalWidth="0" w:num="1">
            <w:col w:w="11420"/>
          </w:cols>
          <w:pgMar w:left="240" w:top="625" w:right="23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color w:val="auto"/>
        </w:rPr>
        <w:t>WESTWOOD HOLDINGS GROUP, INC. AND SUBSIDIARIES</w:t>
      </w:r>
    </w:p>
    <w:p>
      <w:pPr>
        <w:spacing w:after="0" w:line="28" w:lineRule="exact"/>
        <w:rPr>
          <w:sz w:val="20"/>
          <w:szCs w:val="20"/>
          <w:color w:val="auto"/>
        </w:rPr>
      </w:pPr>
    </w:p>
    <w:p>
      <w:pPr>
        <w:ind w:right="3460"/>
        <w:spacing w:after="0" w:line="246" w:lineRule="auto"/>
        <w:rPr>
          <w:sz w:val="20"/>
          <w:szCs w:val="20"/>
          <w:color w:val="auto"/>
        </w:rPr>
      </w:pPr>
      <w:r>
        <w:rPr>
          <w:rFonts w:ascii="Arial" w:cs="Arial" w:eastAsia="Arial" w:hAnsi="Arial"/>
          <w:sz w:val="22"/>
          <w:szCs w:val="22"/>
          <w:b w:val="1"/>
          <w:bCs w:val="1"/>
          <w:color w:val="auto"/>
        </w:rPr>
        <w:t>CONDENSED CONSOLIDATED STATEMENTS OF COMPREHENSIVE INCOME (in thousands, except per share and share amounts)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20" w:type="dxa"/>
            <w:vAlign w:val="bottom"/>
            <w:gridSpan w:val="4"/>
          </w:tcPr>
          <w:p>
            <w:pPr>
              <w:jc w:val="right"/>
              <w:ind w:right="650"/>
              <w:spacing w:after="0"/>
              <w:rPr>
                <w:sz w:val="20"/>
                <w:szCs w:val="20"/>
                <w:color w:val="auto"/>
              </w:rPr>
            </w:pPr>
            <w:r>
              <w:rPr>
                <w:rFonts w:ascii="Arial" w:cs="Arial" w:eastAsia="Arial" w:hAnsi="Arial"/>
                <w:sz w:val="16"/>
                <w:szCs w:val="16"/>
                <w:b w:val="1"/>
                <w:bCs w:val="1"/>
                <w:color w:val="auto"/>
              </w:rPr>
              <w:t>Year Ended December 31,</w:t>
            </w:r>
          </w:p>
        </w:tc>
      </w:tr>
      <w:tr>
        <w:trPr>
          <w:trHeight w:val="33"/>
        </w:trPr>
        <w:tc>
          <w:tcPr>
            <w:tcW w:w="8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8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0"/>
              <w:spacing w:after="0"/>
              <w:rPr>
                <w:sz w:val="20"/>
                <w:szCs w:val="20"/>
                <w:color w:val="auto"/>
              </w:rPr>
            </w:pPr>
            <w:r>
              <w:rPr>
                <w:rFonts w:ascii="Arial" w:cs="Arial" w:eastAsia="Arial" w:hAnsi="Arial"/>
                <w:sz w:val="16"/>
                <w:szCs w:val="16"/>
                <w:b w:val="1"/>
                <w:bCs w:val="1"/>
                <w:color w:val="auto"/>
              </w:rPr>
              <w:t>2016</w:t>
            </w:r>
          </w:p>
        </w:tc>
      </w:tr>
      <w:tr>
        <w:trPr>
          <w:trHeight w:val="33"/>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Advisory fees: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Asset-based</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99,201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91,492</w:t>
            </w:r>
          </w:p>
        </w:tc>
      </w:tr>
      <w:tr>
        <w:trPr>
          <w:trHeight w:val="243"/>
        </w:trPr>
        <w:tc>
          <w:tcPr>
            <w:tcW w:w="8120" w:type="dxa"/>
            <w:vAlign w:val="bottom"/>
          </w:tcPr>
          <w:p>
            <w:pPr>
              <w:ind w:left="720"/>
              <w:spacing w:after="0"/>
              <w:rPr>
                <w:sz w:val="20"/>
                <w:szCs w:val="20"/>
                <w:color w:val="auto"/>
              </w:rPr>
            </w:pPr>
            <w:r>
              <w:rPr>
                <w:rFonts w:ascii="Arial" w:cs="Arial" w:eastAsia="Arial" w:hAnsi="Arial"/>
                <w:sz w:val="18"/>
                <w:szCs w:val="18"/>
                <w:color w:val="auto"/>
              </w:rPr>
              <w:t>Performance-based</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1,411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635</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Trust fees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31,621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30,313</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Other, net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1,552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581</w:t>
            </w: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133,785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123,021</w:t>
            </w:r>
          </w:p>
        </w:tc>
      </w:tr>
      <w:tr>
        <w:trPr>
          <w:trHeight w:val="264"/>
        </w:trPr>
        <w:tc>
          <w:tcPr>
            <w:tcW w:w="812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EXPENSES: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Employee compensation and benefits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64,955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61,509</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Sales and marketing</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1,919</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Westwood mutual funds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3,938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3,155</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Information technology</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7,785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7,735</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Professional services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5,916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5,622</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Legal settlement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11,247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9,071</w:t>
            </w: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expenses</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99,892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89,011</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33,893</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34,010</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income taxes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13,904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11,363</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19,989</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22,647</w:t>
            </w:r>
          </w:p>
        </w:tc>
      </w:tr>
      <w:tr>
        <w:trPr>
          <w:trHeight w:val="67"/>
        </w:trPr>
        <w:tc>
          <w:tcPr>
            <w:tcW w:w="8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r>
      <w:tr>
        <w:trPr>
          <w:trHeight w:val="231"/>
        </w:trPr>
        <w:tc>
          <w:tcPr>
            <w:tcW w:w="812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Other comprehensive income:</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Foreign currency translation adjustments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2,523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401</w:t>
            </w: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22,512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23,048</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8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share: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Basic</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2.84</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w:t>
            </w:r>
          </w:p>
        </w:tc>
      </w:tr>
      <w:tr>
        <w:trPr>
          <w:trHeight w:val="297"/>
        </w:trPr>
        <w:tc>
          <w:tcPr>
            <w:tcW w:w="8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Basic</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8,147,742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7,961,891</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8,400,022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8,165,475</w:t>
            </w:r>
          </w:p>
        </w:tc>
      </w:tr>
      <w:tr>
        <w:trPr>
          <w:trHeight w:val="297"/>
        </w:trPr>
        <w:tc>
          <w:tcPr>
            <w:tcW w:w="8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Economic Earnings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38,917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41,108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Economic EPS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5.03</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97"/>
        </w:trPr>
        <w:tc>
          <w:tcPr>
            <w:tcW w:w="8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Dividends declared per share</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2.33</w:t>
            </w:r>
          </w:p>
        </w:tc>
      </w:tr>
    </w:tbl>
    <w:p>
      <w:pPr>
        <w:sectPr>
          <w:pgSz w:w="11900" w:h="16838" w:orient="portrait"/>
          <w:cols w:equalWidth="0" w:num="1">
            <w:col w:w="11420"/>
          </w:cols>
          <w:pgMar w:left="240" w:top="625" w:right="239" w:bottom="1440" w:gutter="0" w:footer="0" w:header="0"/>
        </w:sectPr>
      </w:pPr>
    </w:p>
    <w:bookmarkStart w:id="9" w:name="page10"/>
    <w:bookmarkEnd w:id="9"/>
    <w:p>
      <w:pPr>
        <w:spacing w:after="0" w:line="212" w:lineRule="exact"/>
        <w:rPr>
          <w:sz w:val="20"/>
          <w:szCs w:val="20"/>
          <w:color w:val="auto"/>
        </w:rPr>
      </w:pPr>
    </w:p>
    <w:p>
      <w:pPr>
        <w:ind w:right="5380"/>
        <w:spacing w:after="0" w:line="262" w:lineRule="auto"/>
        <w:rPr>
          <w:sz w:val="20"/>
          <w:szCs w:val="20"/>
          <w:color w:val="auto"/>
        </w:rPr>
      </w:pPr>
      <w:r>
        <w:rPr>
          <w:rFonts w:ascii="Arial" w:cs="Arial" w:eastAsia="Arial" w:hAnsi="Arial"/>
          <w:sz w:val="21"/>
          <w:szCs w:val="21"/>
          <w:b w:val="1"/>
          <w:bCs w:val="1"/>
          <w:color w:val="auto"/>
        </w:rPr>
        <w:t>WESTWOOD HOLDINGS GROUP, INC. AND SUBSIDIARIES CONDENSED CONSOLIDATED BALANCE SHEETS (in thousands, except par value and share amounts)</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(unaudited)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 2017</w:t>
            </w:r>
          </w:p>
        </w:tc>
        <w:tc>
          <w:tcPr>
            <w:tcW w:w="148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December 31, 2016</w:t>
            </w:r>
          </w:p>
        </w:tc>
      </w:tr>
      <w:tr>
        <w:trPr>
          <w:trHeight w:val="33"/>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54,249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33,679</w:t>
            </w: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21,660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23,429</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Investments, at fair value</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51,324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56,485</w:t>
            </w: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Prepaid income taxes</w:t>
            </w: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4,269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assets</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6,612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2,364</w:t>
            </w:r>
          </w:p>
        </w:tc>
      </w:tr>
      <w:tr>
        <w:trPr>
          <w:trHeight w:val="237"/>
        </w:trPr>
        <w:tc>
          <w:tcPr>
            <w:tcW w:w="824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138,114</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115,957</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27,144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27,144</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3,407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10,903</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19,804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21,394</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Property and equipment, net of accumulated depreciation of $5,673 and $4,590</w:t>
            </w: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4,190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4,280</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82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192,659</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179,678</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8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and accrued liabilities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2,641</w:t>
            </w: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Dividends payable</w:t>
            </w: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7,357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6,679</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Compensation and benefits payable</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19,075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17,200</w:t>
            </w: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Income taxes payable</w:t>
            </w: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1,598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3,148</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31,531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29,668</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Accrued dividends</w:t>
            </w: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1,717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1,767</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tax payable</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Deferred rent</w:t>
            </w: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1,998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2,174</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36,263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33,609</w:t>
            </w:r>
          </w:p>
        </w:tc>
      </w:tr>
      <w:tr>
        <w:trPr>
          <w:trHeight w:val="270"/>
        </w:trPr>
        <w:tc>
          <w:tcPr>
            <w:tcW w:w="8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29"/>
        </w:trPr>
        <w:tc>
          <w:tcPr>
            <w:tcW w:w="8240" w:type="dxa"/>
            <w:vAlign w:val="bottom"/>
          </w:tcPr>
          <w:p>
            <w:pPr>
              <w:ind w:left="280"/>
              <w:spacing w:after="0"/>
              <w:rPr>
                <w:sz w:val="20"/>
                <w:szCs w:val="20"/>
                <w:color w:val="auto"/>
              </w:rPr>
            </w:pPr>
            <w:r>
              <w:rPr>
                <w:rFonts w:ascii="Arial" w:cs="Arial" w:eastAsia="Arial" w:hAnsi="Arial"/>
                <w:sz w:val="18"/>
                <w:szCs w:val="18"/>
                <w:color w:val="auto"/>
                <w:w w:val="91"/>
              </w:rPr>
              <w:t>Common stock, $0.01 par value, authorized 25,000,000 shares, issued 9,980,827 and outstanding 8,899,587</w:t>
            </w: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8240" w:type="dxa"/>
            <w:vAlign w:val="bottom"/>
          </w:tcPr>
          <w:p>
            <w:pPr>
              <w:ind w:left="600"/>
              <w:spacing w:after="0"/>
              <w:rPr>
                <w:sz w:val="20"/>
                <w:szCs w:val="20"/>
                <w:color w:val="auto"/>
              </w:rPr>
            </w:pPr>
            <w:r>
              <w:rPr>
                <w:rFonts w:ascii="Arial" w:cs="Arial" w:eastAsia="Arial" w:hAnsi="Arial"/>
                <w:sz w:val="18"/>
                <w:szCs w:val="18"/>
                <w:color w:val="auto"/>
                <w:w w:val="90"/>
              </w:rPr>
              <w:t>shares at December 31, 2017; issued 9,801,938 and outstanding 8,810,375 shares at December 31, 2016</w:t>
            </w:r>
          </w:p>
        </w:tc>
        <w:tc>
          <w:tcPr>
            <w:tcW w:w="120" w:type="dxa"/>
            <w:vAlign w:val="bottom"/>
          </w:tcPr>
          <w:p>
            <w:pPr>
              <w:spacing w:after="0"/>
              <w:rPr>
                <w:sz w:val="20"/>
                <w:szCs w:val="20"/>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98</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Additional paid-in capital</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179,241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162,730</w:t>
            </w:r>
          </w:p>
        </w:tc>
      </w:tr>
      <w:tr>
        <w:trPr>
          <w:trHeight w:val="243"/>
        </w:trPr>
        <w:tc>
          <w:tcPr>
            <w:tcW w:w="8240" w:type="dxa"/>
            <w:vAlign w:val="bottom"/>
          </w:tcPr>
          <w:p>
            <w:pPr>
              <w:ind w:left="280"/>
              <w:spacing w:after="0"/>
              <w:rPr>
                <w:sz w:val="20"/>
                <w:szCs w:val="20"/>
                <w:color w:val="auto"/>
              </w:rPr>
            </w:pPr>
            <w:r>
              <w:rPr>
                <w:rFonts w:ascii="Arial" w:cs="Arial" w:eastAsia="Arial" w:hAnsi="Arial"/>
                <w:sz w:val="18"/>
                <w:szCs w:val="18"/>
                <w:color w:val="auto"/>
                <w:w w:val="94"/>
              </w:rPr>
              <w:t>Treasury stock, at cost – 1,081,240 shares at December 31, 2017; 991,563 shares at December 31, 2016</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(49,788)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(44,353)</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(4,287)</w:t>
            </w:r>
          </w:p>
        </w:tc>
      </w:tr>
      <w:tr>
        <w:trPr>
          <w:trHeight w:val="243"/>
        </w:trPr>
        <w:tc>
          <w:tcPr>
            <w:tcW w:w="8240" w:type="dxa"/>
            <w:vAlign w:val="bottom"/>
          </w:tcPr>
          <w:p>
            <w:pPr>
              <w:ind w:left="280"/>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28,607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31,881</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82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stockholders’ equity</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156,396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146,069</w:t>
            </w:r>
          </w:p>
        </w:tc>
      </w:tr>
      <w:tr>
        <w:trPr>
          <w:trHeight w:val="237"/>
        </w:trPr>
        <w:tc>
          <w:tcPr>
            <w:tcW w:w="8240" w:type="dxa"/>
            <w:vAlign w:val="bottom"/>
          </w:tcPr>
          <w:p>
            <w:pPr>
              <w:ind w:left="1040"/>
              <w:spacing w:after="0"/>
              <w:rPr>
                <w:sz w:val="20"/>
                <w:szCs w:val="20"/>
                <w:color w:val="auto"/>
              </w:rPr>
            </w:pPr>
            <w:r>
              <w:rPr>
                <w:rFonts w:ascii="Arial" w:cs="Arial" w:eastAsia="Arial" w:hAnsi="Arial"/>
                <w:sz w:val="18"/>
                <w:szCs w:val="18"/>
                <w:b w:val="1"/>
                <w:bCs w:val="1"/>
                <w:color w:val="auto"/>
              </w:rPr>
              <w:t>Total liabilities and stockholders’ equity</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192,659</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2"/>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179,678</w:t>
            </w:r>
          </w:p>
        </w:tc>
      </w:tr>
      <w:tr>
        <w:trPr>
          <w:trHeight w:val="27"/>
        </w:trPr>
        <w:tc>
          <w:tcPr>
            <w:tcW w:w="8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1440" w:right="239" w:bottom="1440" w:gutter="0" w:footer="0" w:header="0"/>
        </w:sectPr>
      </w:pPr>
    </w:p>
    <w:bookmarkStart w:id="10" w:name="page11"/>
    <w:bookmarkEnd w:id="10"/>
    <w:p>
      <w:pPr>
        <w:spacing w:after="0"/>
        <w:rPr>
          <w:sz w:val="20"/>
          <w:szCs w:val="20"/>
          <w:color w:val="auto"/>
        </w:rPr>
      </w:pPr>
      <w:r>
        <w:rPr>
          <w:rFonts w:ascii="Arial" w:cs="Arial" w:eastAsia="Arial" w:hAnsi="Arial"/>
          <w:sz w:val="22"/>
          <w:szCs w:val="22"/>
          <w:b w:val="1"/>
          <w:bCs w:val="1"/>
          <w:color w:val="auto"/>
        </w:rPr>
        <w:t>WESTWOOD HOLDINGS GROUP, INC. AND SUBSIDIARIES</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CONDENSED CONSOLIDATED STATEMENTS OF CASH FLOWS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 thousands)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(unaudited)</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2520" w:type="dxa"/>
            <w:vAlign w:val="bottom"/>
            <w:gridSpan w:val="4"/>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560" w:type="dxa"/>
            <w:vAlign w:val="bottom"/>
          </w:tcPr>
          <w:p>
            <w:pPr>
              <w:spacing w:after="0"/>
              <w:rPr>
                <w:sz w:val="18"/>
                <w:szCs w:val="18"/>
                <w:color w:val="auto"/>
              </w:rPr>
            </w:pPr>
          </w:p>
        </w:tc>
      </w:tr>
      <w:tr>
        <w:trPr>
          <w:trHeight w:val="33"/>
        </w:trPr>
        <w:tc>
          <w:tcPr>
            <w:tcW w:w="83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560" w:type="dxa"/>
            <w:vAlign w:val="bottom"/>
          </w:tcPr>
          <w:p>
            <w:pPr>
              <w:spacing w:after="0"/>
              <w:rPr>
                <w:sz w:val="20"/>
                <w:szCs w:val="20"/>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04"/>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9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r>
      <w:tr>
        <w:trPr>
          <w:trHeight w:val="60"/>
        </w:trPr>
        <w:tc>
          <w:tcPr>
            <w:tcW w:w="834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Net income</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w w:val="89"/>
              </w:rPr>
              <w:t>19,989</w:t>
            </w:r>
          </w:p>
        </w:tc>
        <w:tc>
          <w:tcPr>
            <w:tcW w:w="120" w:type="dxa"/>
            <w:vAlign w:val="bottom"/>
          </w:tcPr>
          <w:p>
            <w:pPr>
              <w:spacing w:after="0"/>
              <w:rPr>
                <w:sz w:val="20"/>
                <w:szCs w:val="20"/>
                <w:color w:val="auto"/>
              </w:rPr>
            </w:pPr>
          </w:p>
        </w:tc>
        <w:tc>
          <w:tcPr>
            <w:tcW w:w="900" w:type="dxa"/>
            <w:vAlign w:val="bottom"/>
          </w:tcPr>
          <w:p>
            <w:pPr>
              <w:jc w:val="right"/>
              <w:ind w:right="719"/>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ind w:right="19"/>
              <w:spacing w:after="0"/>
              <w:rPr>
                <w:sz w:val="20"/>
                <w:szCs w:val="20"/>
                <w:color w:val="auto"/>
              </w:rPr>
            </w:pPr>
            <w:r>
              <w:rPr>
                <w:rFonts w:ascii="Arial" w:cs="Arial" w:eastAsia="Arial" w:hAnsi="Arial"/>
                <w:sz w:val="16"/>
                <w:szCs w:val="16"/>
                <w:color w:val="auto"/>
                <w:w w:val="89"/>
              </w:rPr>
              <w:t>22,647</w:t>
            </w:r>
          </w:p>
        </w:tc>
      </w:tr>
      <w:tr>
        <w:trPr>
          <w:trHeight w:val="33"/>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Depreciation</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1,044</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969</w:t>
            </w:r>
          </w:p>
        </w:tc>
      </w:tr>
      <w:tr>
        <w:trPr>
          <w:trHeight w:val="33"/>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Amortization of intangible assets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1,872</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1,960</w:t>
            </w: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Unrealized gains on trading investments</w:t>
            </w:r>
          </w:p>
        </w:tc>
        <w:tc>
          <w:tcPr>
            <w:tcW w:w="9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(617)</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(510)</w:t>
            </w:r>
          </w:p>
        </w:tc>
      </w:tr>
      <w:tr>
        <w:trPr>
          <w:trHeight w:val="33"/>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Stock-based compensation expense</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16,430</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15,954</w:t>
            </w: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Deferred income taxes</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7,542</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149</w:t>
            </w:r>
          </w:p>
        </w:tc>
      </w:tr>
      <w:tr>
        <w:trPr>
          <w:trHeight w:val="33"/>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Excess tax benefits from stock based compensation</w:t>
            </w:r>
          </w:p>
        </w:tc>
        <w:tc>
          <w:tcPr>
            <w:tcW w:w="9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w:t>
            </w: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Other</w:t>
            </w:r>
          </w:p>
        </w:tc>
        <w:tc>
          <w:tcPr>
            <w:tcW w:w="92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269</w:t>
            </w:r>
          </w:p>
        </w:tc>
      </w:tr>
      <w:tr>
        <w:trPr>
          <w:trHeight w:val="33"/>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Changes in operating assets and liabilities: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Net sales of investments – trading securities</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5,778</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w w:val="89"/>
              </w:rPr>
              <w:t>16,345</w:t>
            </w:r>
          </w:p>
        </w:tc>
      </w:tr>
      <w:tr>
        <w:trPr>
          <w:trHeight w:val="33"/>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Accounts receivable</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2,161</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(3,493)</w:t>
            </w: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Other current assets</w:t>
            </w:r>
          </w:p>
        </w:tc>
        <w:tc>
          <w:tcPr>
            <w:tcW w:w="9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8"/>
              </w:rPr>
              <w:t>(4,234)</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567</w:t>
            </w:r>
          </w:p>
        </w:tc>
      </w:tr>
      <w:tr>
        <w:trPr>
          <w:trHeight w:val="33"/>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Accounts payable and accrued liabilities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763</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(926)</w:t>
            </w: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Compensation and benefits payable</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2,262</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4"/>
              </w:rPr>
              <w:t>(2,848)</w:t>
            </w:r>
          </w:p>
        </w:tc>
      </w:tr>
      <w:tr>
        <w:trPr>
          <w:trHeight w:val="33"/>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Income taxes payable</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(4,816)</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(3,655)</w:t>
            </w: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Other liabilities</w:t>
            </w:r>
          </w:p>
        </w:tc>
        <w:tc>
          <w:tcPr>
            <w:tcW w:w="9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(165)</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129</w:t>
            </w:r>
          </w:p>
        </w:tc>
      </w:tr>
      <w:tr>
        <w:trPr>
          <w:trHeight w:val="33"/>
        </w:trPr>
        <w:tc>
          <w:tcPr>
            <w:tcW w:w="8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9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48,009</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47,392</w:t>
            </w:r>
          </w:p>
        </w:tc>
      </w:tr>
      <w:tr>
        <w:trPr>
          <w:trHeight w:val="224"/>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7"/>
        </w:trPr>
        <w:tc>
          <w:tcPr>
            <w:tcW w:w="8340" w:type="dxa"/>
            <w:vAlign w:val="bottom"/>
          </w:tcPr>
          <w:p>
            <w:pPr>
              <w:spacing w:after="0"/>
              <w:rPr>
                <w:sz w:val="4"/>
                <w:szCs w:val="4"/>
                <w:color w:val="auto"/>
              </w:rPr>
            </w:pPr>
          </w:p>
        </w:tc>
        <w:tc>
          <w:tcPr>
            <w:tcW w:w="9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560" w:type="dxa"/>
            <w:vAlign w:val="bottom"/>
          </w:tcPr>
          <w:p>
            <w:pPr>
              <w:spacing w:after="0"/>
              <w:rPr>
                <w:sz w:val="4"/>
                <w:szCs w:val="4"/>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Purchases of property, equipment and other</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(1,167)</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(1,819)</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Proceeds on sale of property and equipment</w:t>
            </w:r>
          </w:p>
        </w:tc>
        <w:tc>
          <w:tcPr>
            <w:tcW w:w="92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9</w:t>
            </w:r>
          </w:p>
        </w:tc>
      </w:tr>
      <w:tr>
        <w:trPr>
          <w:trHeight w:val="33"/>
        </w:trPr>
        <w:tc>
          <w:tcPr>
            <w:tcW w:w="8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investing activities</w:t>
            </w:r>
          </w:p>
        </w:tc>
        <w:tc>
          <w:tcPr>
            <w:tcW w:w="9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(1,167)</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(1,810)</w:t>
            </w:r>
          </w:p>
        </w:tc>
      </w:tr>
      <w:tr>
        <w:trPr>
          <w:trHeight w:val="224"/>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p>
      <w:pPr>
        <w:spacing w:after="0" w:line="6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Purchases of treasury stock</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5"/>
          <w:szCs w:val="15"/>
          <w:color w:val="auto"/>
        </w:rPr>
        <w:t>Purchases of treasury stock for employee stock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Restricted stock returned for payment of taxes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5"/>
          <w:szCs w:val="15"/>
          <w:color w:val="auto"/>
        </w:rPr>
        <w:t>Excess tax benefits from 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Payment of contingent consideration in acquisition</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Cash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cash used in financing activities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Effect of currency rate changes on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NET INCREASE IN CASH AND CASH EQUIVALENTS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Cash and cash equivalents,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Cash and cash equivalents,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50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(5,634)</w:t>
            </w:r>
          </w:p>
        </w:tc>
      </w:tr>
      <w:tr>
        <w:trPr>
          <w:trHeight w:val="270"/>
        </w:trPr>
        <w:tc>
          <w:tcPr>
            <w:tcW w:w="5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(1,326)</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(614)</w:t>
            </w:r>
          </w:p>
        </w:tc>
      </w:tr>
      <w:tr>
        <w:trPr>
          <w:trHeight w:val="270"/>
        </w:trPr>
        <w:tc>
          <w:tcPr>
            <w:tcW w:w="5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(5,328)</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(3,857)</w:t>
            </w:r>
          </w:p>
        </w:tc>
      </w:tr>
      <w:tr>
        <w:trPr>
          <w:trHeight w:val="270"/>
        </w:trPr>
        <w:tc>
          <w:tcPr>
            <w:tcW w:w="500" w:type="dxa"/>
            <w:vAlign w:val="bottom"/>
          </w:tcPr>
          <w:p>
            <w:pPr>
              <w:spacing w:after="0"/>
              <w:rPr>
                <w:sz w:val="23"/>
                <w:szCs w:val="23"/>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165</w:t>
            </w:r>
          </w:p>
        </w:tc>
      </w:tr>
      <w:tr>
        <w:trPr>
          <w:trHeight w:val="270"/>
        </w:trPr>
        <w:tc>
          <w:tcPr>
            <w:tcW w:w="500" w:type="dxa"/>
            <w:vAlign w:val="bottom"/>
          </w:tcPr>
          <w:p>
            <w:pPr>
              <w:spacing w:after="0"/>
              <w:rPr>
                <w:sz w:val="23"/>
                <w:szCs w:val="23"/>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(5,562)</w:t>
            </w:r>
          </w:p>
        </w:tc>
      </w:tr>
      <w:tr>
        <w:trPr>
          <w:trHeight w:val="270"/>
        </w:trPr>
        <w:tc>
          <w:tcPr>
            <w:tcW w:w="5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(21,923)</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(19,442)</w:t>
            </w:r>
          </w:p>
        </w:tc>
      </w:tr>
      <w:tr>
        <w:trPr>
          <w:trHeight w:val="33"/>
        </w:trPr>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7"/>
        </w:trPr>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(28,577)</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(34,944)</w:t>
            </w:r>
          </w:p>
        </w:tc>
      </w:tr>
      <w:tr>
        <w:trPr>
          <w:trHeight w:val="270"/>
        </w:trPr>
        <w:tc>
          <w:tcPr>
            <w:tcW w:w="50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2,305</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301</w:t>
            </w:r>
          </w:p>
        </w:tc>
      </w:tr>
      <w:tr>
        <w:trPr>
          <w:trHeight w:val="33"/>
        </w:trPr>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7"/>
        </w:trPr>
        <w:tc>
          <w:tcPr>
            <w:tcW w:w="50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20,570</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10,939</w:t>
            </w:r>
          </w:p>
        </w:tc>
      </w:tr>
      <w:tr>
        <w:trPr>
          <w:trHeight w:val="270"/>
        </w:trPr>
        <w:tc>
          <w:tcPr>
            <w:tcW w:w="50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33,679</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22,740</w:t>
            </w:r>
          </w:p>
        </w:tc>
      </w:tr>
      <w:tr>
        <w:trPr>
          <w:trHeight w:val="33"/>
        </w:trPr>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7"/>
        </w:trPr>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54,249</w:t>
            </w:r>
          </w:p>
        </w:tc>
        <w:tc>
          <w:tcPr>
            <w:tcW w:w="12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33,679</w:t>
            </w:r>
          </w:p>
        </w:tc>
      </w:tr>
      <w:tr>
        <w:trPr>
          <w:trHeight w:val="33"/>
        </w:trPr>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620" w:space="720"/>
            <w:col w:w="3080"/>
          </w:cols>
          <w:pgMar w:left="240" w:top="625" w:right="239" w:bottom="1440" w:gutter="0" w:footer="0" w:header="0"/>
          <w:type w:val="continuous"/>
        </w:sectPr>
      </w:pPr>
    </w:p>
    <w:p>
      <w:pPr>
        <w:spacing w:after="0" w:line="101" w:lineRule="exact"/>
        <w:rPr>
          <w:sz w:val="20"/>
          <w:szCs w:val="20"/>
          <w:color w:val="auto"/>
        </w:rPr>
      </w:pPr>
    </w:p>
    <w:p>
      <w:pPr>
        <w:ind w:left="40"/>
        <w:spacing w:after="0"/>
        <w:rPr>
          <w:sz w:val="20"/>
          <w:szCs w:val="20"/>
          <w:color w:val="auto"/>
        </w:rPr>
      </w:pPr>
      <w:r>
        <w:rPr>
          <w:rFonts w:ascii="Arial" w:cs="Arial" w:eastAsia="Arial" w:hAnsi="Arial"/>
          <w:sz w:val="16"/>
          <w:szCs w:val="16"/>
          <w:color w:val="auto"/>
        </w:rPr>
        <w:t>Supplemental cash flow information:</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120" w:type="dxa"/>
            <w:vAlign w:val="bottom"/>
          </w:tcPr>
          <w:p>
            <w:pPr>
              <w:ind w:left="380"/>
              <w:spacing w:after="0"/>
              <w:rPr>
                <w:sz w:val="20"/>
                <w:szCs w:val="20"/>
                <w:color w:val="auto"/>
              </w:rPr>
            </w:pPr>
            <w:r>
              <w:rPr>
                <w:rFonts w:ascii="Arial" w:cs="Arial" w:eastAsia="Arial" w:hAnsi="Arial"/>
                <w:sz w:val="16"/>
                <w:szCs w:val="16"/>
                <w:color w:val="auto"/>
              </w:rPr>
              <w:t>Cash paid during the period for income taxes</w:t>
            </w:r>
          </w:p>
        </w:tc>
        <w:tc>
          <w:tcPr>
            <w:tcW w:w="27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10,770</w:t>
            </w:r>
          </w:p>
        </w:tc>
        <w:tc>
          <w:tcPr>
            <w:tcW w:w="60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14,860</w:t>
            </w:r>
          </w:p>
        </w:tc>
      </w:tr>
      <w:tr>
        <w:trPr>
          <w:trHeight w:val="33"/>
        </w:trPr>
        <w:tc>
          <w:tcPr>
            <w:tcW w:w="6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Common stock issued for acquisition</w:t>
            </w:r>
          </w:p>
        </w:tc>
        <w:tc>
          <w:tcPr>
            <w:tcW w:w="27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3,734</w:t>
            </w:r>
          </w:p>
        </w:tc>
      </w:tr>
      <w:tr>
        <w:trPr>
          <w:trHeight w:val="237"/>
        </w:trPr>
        <w:tc>
          <w:tcPr>
            <w:tcW w:w="6120" w:type="dxa"/>
            <w:vAlign w:val="bottom"/>
          </w:tcPr>
          <w:p>
            <w:pPr>
              <w:ind w:left="380"/>
              <w:spacing w:after="0"/>
              <w:rPr>
                <w:sz w:val="20"/>
                <w:szCs w:val="20"/>
                <w:color w:val="auto"/>
              </w:rPr>
            </w:pPr>
            <w:r>
              <w:rPr>
                <w:rFonts w:ascii="Arial" w:cs="Arial" w:eastAsia="Arial" w:hAnsi="Arial"/>
                <w:sz w:val="16"/>
                <w:szCs w:val="16"/>
                <w:color w:val="auto"/>
              </w:rPr>
              <w:t>Accrued dividends</w:t>
            </w:r>
          </w:p>
        </w:tc>
        <w:tc>
          <w:tcPr>
            <w:tcW w:w="27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9,074</w:t>
            </w:r>
          </w:p>
        </w:tc>
        <w:tc>
          <w:tcPr>
            <w:tcW w:w="60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8,446</w:t>
            </w:r>
          </w:p>
        </w:tc>
      </w:tr>
      <w:tr>
        <w:trPr>
          <w:trHeight w:val="33"/>
        </w:trPr>
        <w:tc>
          <w:tcPr>
            <w:tcW w:w="6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Tenant allowance included in Property and equipment</w:t>
            </w:r>
          </w:p>
        </w:tc>
        <w:tc>
          <w:tcPr>
            <w:tcW w:w="27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1,236</w:t>
            </w:r>
          </w:p>
        </w:tc>
      </w:tr>
      <w:tr>
        <w:trPr>
          <w:trHeight w:val="237"/>
        </w:trPr>
        <w:tc>
          <w:tcPr>
            <w:tcW w:w="6120" w:type="dxa"/>
            <w:vAlign w:val="bottom"/>
          </w:tcPr>
          <w:p>
            <w:pPr>
              <w:ind w:left="380"/>
              <w:spacing w:after="0"/>
              <w:rPr>
                <w:sz w:val="20"/>
                <w:szCs w:val="20"/>
                <w:color w:val="auto"/>
              </w:rPr>
            </w:pPr>
            <w:r>
              <w:rPr>
                <w:rFonts w:ascii="Arial" w:cs="Arial" w:eastAsia="Arial" w:hAnsi="Arial"/>
                <w:sz w:val="16"/>
                <w:szCs w:val="16"/>
                <w:color w:val="auto"/>
              </w:rPr>
              <w:t>Non-cash accrued Property and equipment</w:t>
            </w:r>
          </w:p>
        </w:tc>
        <w:tc>
          <w:tcPr>
            <w:tcW w:w="27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69</w:t>
            </w:r>
          </w:p>
        </w:tc>
        <w:tc>
          <w:tcPr>
            <w:tcW w:w="60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r>
    </w:tbl>
    <w:p>
      <w:pPr>
        <w:sectPr>
          <w:pgSz w:w="11900" w:h="16838" w:orient="portrait"/>
          <w:cols w:equalWidth="0" w:num="1">
            <w:col w:w="11420"/>
          </w:cols>
          <w:pgMar w:left="240" w:top="625" w:right="239" w:bottom="1440" w:gutter="0" w:footer="0" w:header="0"/>
          <w:type w:val="continuous"/>
        </w:sectPr>
      </w:pPr>
    </w:p>
    <w:bookmarkStart w:id="11" w:name="page12"/>
    <w:bookmarkEnd w:id="11"/>
    <w:p>
      <w:pPr>
        <w:ind w:right="5380"/>
        <w:spacing w:after="0" w:line="262" w:lineRule="auto"/>
        <w:rPr>
          <w:sz w:val="20"/>
          <w:szCs w:val="20"/>
          <w:color w:val="auto"/>
        </w:rPr>
      </w:pPr>
      <w:r>
        <w:rPr>
          <w:rFonts w:ascii="Arial" w:cs="Arial" w:eastAsia="Arial" w:hAnsi="Arial"/>
          <w:sz w:val="21"/>
          <w:szCs w:val="21"/>
          <w:b w:val="1"/>
          <w:bCs w:val="1"/>
          <w:color w:val="auto"/>
        </w:rPr>
        <w:t>WESTWOOD HOLDINGS GROUP, INC. AND SUBSIDIARIES Reconciliation of Net Income to Economic Earnings (in thousands, except per share and share amounts)</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(unaudited)</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7"/>
          </w:tcPr>
          <w:p>
            <w:pPr>
              <w:jc w:val="right"/>
              <w:ind w:right="220"/>
              <w:spacing w:after="0"/>
              <w:rPr>
                <w:sz w:val="20"/>
                <w:szCs w:val="20"/>
                <w:color w:val="auto"/>
              </w:rPr>
            </w:pPr>
            <w:r>
              <w:rPr>
                <w:rFonts w:ascii="Arial" w:cs="Arial" w:eastAsia="Arial" w:hAnsi="Arial"/>
                <w:sz w:val="16"/>
                <w:szCs w:val="16"/>
                <w:b w:val="1"/>
                <w:bCs w:val="1"/>
                <w:color w:val="auto"/>
                <w:w w:val="96"/>
              </w:rPr>
              <w:t>Three Months Ended</w:t>
            </w:r>
          </w:p>
        </w:tc>
        <w:tc>
          <w:tcPr>
            <w:tcW w:w="1300" w:type="dxa"/>
            <w:vAlign w:val="bottom"/>
          </w:tcPr>
          <w:p>
            <w:pPr>
              <w:spacing w:after="0"/>
              <w:rPr>
                <w:sz w:val="18"/>
                <w:szCs w:val="18"/>
                <w:color w:val="auto"/>
              </w:rPr>
            </w:pPr>
          </w:p>
        </w:tc>
      </w:tr>
      <w:tr>
        <w:trPr>
          <w:trHeight w:val="47"/>
        </w:trPr>
        <w:tc>
          <w:tcPr>
            <w:tcW w:w="686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gridSpan w:val="2"/>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r>
      <w:tr>
        <w:trPr>
          <w:trHeight w:val="209"/>
        </w:trPr>
        <w:tc>
          <w:tcPr>
            <w:tcW w:w="6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90"/>
              </w:rPr>
              <w:t>December 31,</w:t>
            </w:r>
          </w:p>
        </w:tc>
        <w:tc>
          <w:tcPr>
            <w:tcW w:w="180" w:type="dxa"/>
            <w:vAlign w:val="bottom"/>
          </w:tcPr>
          <w:p>
            <w:pPr>
              <w:spacing w:after="0"/>
              <w:rPr>
                <w:sz w:val="18"/>
                <w:szCs w:val="18"/>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w w:val="93"/>
              </w:rPr>
              <w:t>September 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92"/>
              <w:spacing w:after="0"/>
              <w:rPr>
                <w:sz w:val="20"/>
                <w:szCs w:val="20"/>
                <w:color w:val="auto"/>
              </w:rPr>
            </w:pPr>
            <w:r>
              <w:rPr>
                <w:rFonts w:ascii="Arial" w:cs="Arial" w:eastAsia="Arial" w:hAnsi="Arial"/>
                <w:sz w:val="16"/>
                <w:szCs w:val="16"/>
                <w:b w:val="1"/>
                <w:bCs w:val="1"/>
                <w:color w:val="auto"/>
                <w:w w:val="96"/>
              </w:rPr>
              <w:t>December 31,</w:t>
            </w:r>
          </w:p>
        </w:tc>
      </w:tr>
      <w:tr>
        <w:trPr>
          <w:trHeight w:val="210"/>
        </w:trPr>
        <w:tc>
          <w:tcPr>
            <w:tcW w:w="6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91"/>
              <w:spacing w:after="0"/>
              <w:rPr>
                <w:sz w:val="20"/>
                <w:szCs w:val="20"/>
                <w:color w:val="auto"/>
              </w:rPr>
            </w:pPr>
            <w:r>
              <w:rPr>
                <w:rFonts w:ascii="Arial" w:cs="Arial" w:eastAsia="Arial" w:hAnsi="Arial"/>
                <w:sz w:val="16"/>
                <w:szCs w:val="16"/>
                <w:b w:val="1"/>
                <w:bCs w:val="1"/>
                <w:color w:val="auto"/>
              </w:rPr>
              <w:t>2017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27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2"/>
              <w:spacing w:after="0"/>
              <w:rPr>
                <w:sz w:val="20"/>
                <w:szCs w:val="20"/>
                <w:color w:val="auto"/>
              </w:rPr>
            </w:pPr>
            <w:r>
              <w:rPr>
                <w:rFonts w:ascii="Arial" w:cs="Arial" w:eastAsia="Arial" w:hAnsi="Arial"/>
                <w:sz w:val="16"/>
                <w:szCs w:val="16"/>
                <w:b w:val="1"/>
                <w:bCs w:val="1"/>
                <w:color w:val="auto"/>
              </w:rPr>
              <w:t>2016</w:t>
            </w:r>
          </w:p>
        </w:tc>
      </w:tr>
      <w:tr>
        <w:trPr>
          <w:trHeight w:val="33"/>
        </w:trPr>
        <w:tc>
          <w:tcPr>
            <w:tcW w:w="6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Net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4,132</w:t>
            </w:r>
          </w:p>
        </w:tc>
        <w:tc>
          <w:tcPr>
            <w:tcW w:w="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7,577</w:t>
            </w:r>
          </w:p>
        </w:tc>
      </w:tr>
      <w:tr>
        <w:trPr>
          <w:trHeight w:val="243"/>
        </w:trPr>
        <w:tc>
          <w:tcPr>
            <w:tcW w:w="6860" w:type="dxa"/>
            <w:vAlign w:val="bottom"/>
          </w:tcPr>
          <w:p>
            <w:pPr>
              <w:ind w:left="60"/>
              <w:spacing w:after="0"/>
              <w:rPr>
                <w:sz w:val="20"/>
                <w:szCs w:val="20"/>
                <w:color w:val="auto"/>
              </w:rPr>
            </w:pPr>
            <w:r>
              <w:rPr>
                <w:rFonts w:ascii="Arial" w:cs="Arial" w:eastAsia="Arial" w:hAnsi="Arial"/>
                <w:sz w:val="18"/>
                <w:szCs w:val="18"/>
                <w:color w:val="auto"/>
              </w:rPr>
              <w:t>Add: Stock-based compensation expense</w:t>
            </w:r>
          </w:p>
        </w:tc>
        <w:tc>
          <w:tcPr>
            <w:tcW w:w="16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4,132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4,233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3,790</w:t>
            </w:r>
          </w:p>
        </w:tc>
      </w:tr>
      <w:tr>
        <w:trPr>
          <w:trHeight w:val="27"/>
        </w:trPr>
        <w:tc>
          <w:tcPr>
            <w:tcW w:w="6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Add: Intangible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490</w:t>
            </w:r>
          </w:p>
        </w:tc>
      </w:tr>
      <w:tr>
        <w:trPr>
          <w:trHeight w:val="243"/>
        </w:trPr>
        <w:tc>
          <w:tcPr>
            <w:tcW w:w="6860" w:type="dxa"/>
            <w:vAlign w:val="bottom"/>
          </w:tcPr>
          <w:p>
            <w:pPr>
              <w:ind w:left="60"/>
              <w:spacing w:after="0"/>
              <w:rPr>
                <w:sz w:val="20"/>
                <w:szCs w:val="20"/>
                <w:color w:val="auto"/>
              </w:rPr>
            </w:pPr>
            <w:r>
              <w:rPr>
                <w:rFonts w:ascii="Arial" w:cs="Arial" w:eastAsia="Arial" w:hAnsi="Arial"/>
                <w:sz w:val="18"/>
                <w:szCs w:val="18"/>
                <w:color w:val="auto"/>
              </w:rPr>
              <w:t>Add: Tax benefit from goodwill amortization</w:t>
            </w:r>
          </w:p>
        </w:tc>
        <w:tc>
          <w:tcPr>
            <w:tcW w:w="16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157</w:t>
            </w:r>
          </w:p>
        </w:tc>
      </w:tr>
      <w:tr>
        <w:trPr>
          <w:trHeight w:val="27"/>
        </w:trPr>
        <w:tc>
          <w:tcPr>
            <w:tcW w:w="6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68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Economic Earnings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7,609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8,990</w:t>
            </w: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12,014</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6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68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Diluted weighted average shares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8,546,936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8,420,749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8,261,274</w:t>
            </w:r>
          </w:p>
        </w:tc>
      </w:tr>
      <w:tr>
        <w:trPr>
          <w:trHeight w:val="243"/>
        </w:trPr>
        <w:tc>
          <w:tcPr>
            <w:tcW w:w="6860" w:type="dxa"/>
            <w:vAlign w:val="bottom"/>
          </w:tcPr>
          <w:p>
            <w:pPr>
              <w:ind w:left="60"/>
              <w:spacing w:after="0"/>
              <w:rPr>
                <w:sz w:val="20"/>
                <w:szCs w:val="20"/>
                <w:color w:val="auto"/>
              </w:rPr>
            </w:pPr>
            <w:r>
              <w:rPr>
                <w:rFonts w:ascii="Arial" w:cs="Arial" w:eastAsia="Arial" w:hAnsi="Arial"/>
                <w:sz w:val="18"/>
                <w:szCs w:val="18"/>
                <w:b w:val="1"/>
                <w:bCs w:val="1"/>
                <w:color w:val="auto"/>
              </w:rPr>
              <w:t>Economic EPS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0.89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1.07</w:t>
            </w:r>
          </w:p>
        </w:tc>
        <w:tc>
          <w:tcPr>
            <w:tcW w:w="3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1.45</w:t>
            </w:r>
          </w:p>
        </w:tc>
      </w:tr>
      <w:tr>
        <w:trPr>
          <w:trHeight w:val="656"/>
        </w:trPr>
        <w:tc>
          <w:tcPr>
            <w:tcW w:w="6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80" w:type="dxa"/>
            <w:vAlign w:val="bottom"/>
            <w:gridSpan w:val="7"/>
          </w:tcPr>
          <w:p>
            <w:pPr>
              <w:jc w:val="right"/>
              <w:ind w:right="712"/>
              <w:spacing w:after="0"/>
              <w:rPr>
                <w:sz w:val="20"/>
                <w:szCs w:val="20"/>
                <w:color w:val="auto"/>
              </w:rPr>
            </w:pPr>
            <w:r>
              <w:rPr>
                <w:rFonts w:ascii="Arial" w:cs="Arial" w:eastAsia="Arial" w:hAnsi="Arial"/>
                <w:sz w:val="16"/>
                <w:szCs w:val="16"/>
                <w:b w:val="1"/>
                <w:bCs w:val="1"/>
                <w:color w:val="auto"/>
              </w:rPr>
              <w:t>Year Ended December 31,</w:t>
            </w:r>
          </w:p>
        </w:tc>
      </w:tr>
      <w:tr>
        <w:trPr>
          <w:trHeight w:val="33"/>
        </w:trPr>
        <w:tc>
          <w:tcPr>
            <w:tcW w:w="6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57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592"/>
              <w:spacing w:after="0"/>
              <w:rPr>
                <w:sz w:val="20"/>
                <w:szCs w:val="20"/>
                <w:color w:val="auto"/>
              </w:rPr>
            </w:pPr>
            <w:r>
              <w:rPr>
                <w:rFonts w:ascii="Arial" w:cs="Arial" w:eastAsia="Arial" w:hAnsi="Arial"/>
                <w:sz w:val="16"/>
                <w:szCs w:val="16"/>
                <w:b w:val="1"/>
                <w:bCs w:val="1"/>
                <w:color w:val="auto"/>
              </w:rPr>
              <w:t>2016</w:t>
            </w:r>
          </w:p>
        </w:tc>
      </w:tr>
      <w:tr>
        <w:trPr>
          <w:trHeight w:val="33"/>
        </w:trPr>
        <w:tc>
          <w:tcPr>
            <w:tcW w:w="68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Net Income</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19,989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22,647</w:t>
            </w:r>
          </w:p>
        </w:tc>
      </w:tr>
      <w:tr>
        <w:trPr>
          <w:trHeight w:val="243"/>
        </w:trPr>
        <w:tc>
          <w:tcPr>
            <w:tcW w:w="6860" w:type="dxa"/>
            <w:vAlign w:val="bottom"/>
          </w:tcPr>
          <w:p>
            <w:pPr>
              <w:ind w:left="60"/>
              <w:spacing w:after="0"/>
              <w:rPr>
                <w:sz w:val="20"/>
                <w:szCs w:val="20"/>
                <w:color w:val="auto"/>
              </w:rPr>
            </w:pPr>
            <w:r>
              <w:rPr>
                <w:rFonts w:ascii="Arial" w:cs="Arial" w:eastAsia="Arial" w:hAnsi="Arial"/>
                <w:sz w:val="18"/>
                <w:szCs w:val="18"/>
                <w:color w:val="auto"/>
              </w:rPr>
              <w:t>Add: Stock-based compensation expense</w:t>
            </w: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16,430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15,954</w:t>
            </w:r>
          </w:p>
        </w:tc>
      </w:tr>
      <w:tr>
        <w:trPr>
          <w:trHeight w:val="27"/>
        </w:trPr>
        <w:tc>
          <w:tcPr>
            <w:tcW w:w="6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Add: Intangible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1,872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1,960</w:t>
            </w:r>
          </w:p>
        </w:tc>
      </w:tr>
      <w:tr>
        <w:trPr>
          <w:trHeight w:val="243"/>
        </w:trPr>
        <w:tc>
          <w:tcPr>
            <w:tcW w:w="6860" w:type="dxa"/>
            <w:vAlign w:val="bottom"/>
          </w:tcPr>
          <w:p>
            <w:pPr>
              <w:ind w:left="60"/>
              <w:spacing w:after="0"/>
              <w:rPr>
                <w:sz w:val="20"/>
                <w:szCs w:val="20"/>
                <w:color w:val="auto"/>
              </w:rPr>
            </w:pPr>
            <w:r>
              <w:rPr>
                <w:rFonts w:ascii="Arial" w:cs="Arial" w:eastAsia="Arial" w:hAnsi="Arial"/>
                <w:sz w:val="18"/>
                <w:szCs w:val="18"/>
                <w:color w:val="auto"/>
              </w:rPr>
              <w:t>Add: Tax benefit from goodwill amortization</w:t>
            </w: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547</w:t>
            </w:r>
          </w:p>
        </w:tc>
      </w:tr>
      <w:tr>
        <w:trPr>
          <w:trHeight w:val="27"/>
        </w:trPr>
        <w:tc>
          <w:tcPr>
            <w:tcW w:w="68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68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Economic Earnings</w:t>
            </w:r>
          </w:p>
        </w:tc>
        <w:tc>
          <w:tcPr>
            <w:tcW w:w="16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38,917</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41,108</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6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68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Diluted weighted average shares</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8,400,022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8,165,475</w:t>
            </w:r>
          </w:p>
        </w:tc>
      </w:tr>
      <w:tr>
        <w:trPr>
          <w:trHeight w:val="243"/>
        </w:trPr>
        <w:tc>
          <w:tcPr>
            <w:tcW w:w="6860" w:type="dxa"/>
            <w:vAlign w:val="bottom"/>
          </w:tcPr>
          <w:p>
            <w:pPr>
              <w:ind w:left="60"/>
              <w:spacing w:after="0"/>
              <w:rPr>
                <w:sz w:val="20"/>
                <w:szCs w:val="20"/>
                <w:color w:val="auto"/>
              </w:rPr>
            </w:pPr>
            <w:r>
              <w:rPr>
                <w:rFonts w:ascii="Arial" w:cs="Arial" w:eastAsia="Arial" w:hAnsi="Arial"/>
                <w:sz w:val="18"/>
                <w:szCs w:val="18"/>
                <w:b w:val="1"/>
                <w:bCs w:val="1"/>
                <w:color w:val="auto"/>
              </w:rPr>
              <w:t>Economic EPS</w:t>
            </w:r>
          </w:p>
        </w:tc>
        <w:tc>
          <w:tcPr>
            <w:tcW w:w="16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5.03</w:t>
            </w:r>
          </w:p>
        </w:tc>
      </w:tr>
    </w:tbl>
    <w:p>
      <w:pPr>
        <w:spacing w:after="0" w:line="168"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As supplemental information, we are providing non-GAAP performance measures that we refer to as Economic Earnings and Economic Earnings per share ("Economic EPS"). We provide these measures in addition to, not as a substitute for, net income and earnings per share, which are reported on a GAAP basis. Management reviews Economic Earnings and Economic EPS to evaluate Westwood’s ongoing performance, allocate resources, and review our dividend policy. We believe that these non-GAAP performance measures, while not substitutes for GAAP net income or earnings per share, are useful for management and investors when evaluating Westwood’s underlying operating and financial performance and its available resources. We do not advocate that investors consider these non-GAAP measures without also considering financial information prepared in accordance with GAAP.</w:t>
      </w:r>
    </w:p>
    <w:p>
      <w:pPr>
        <w:spacing w:after="0" w:line="192"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We define Economic Earnings as net income plus non-cash equity-based compensation expense, amortization of intangible assets and deferred taxes related to goodwill. Although depreciation on fixed assets is a non-cash expense, we do not add it back when calculating Economic Earnings because depreciation charges represent an allocation of the decline in the value of the related assets that will ultimately require replacement. In addition, we do not adjust Economic Earnings for tax deductions related to restricted stock expense or amortization of intangible assets. Economic EPS represents Economic Earnings divided by diluted weighted average shares outstanding.</w:t>
      </w:r>
    </w:p>
    <w:sectPr>
      <w:pgSz w:w="11900" w:h="16838" w:orient="portrait"/>
      <w:cols w:equalWidth="0" w:num="1">
        <w:col w:w="11420"/>
      </w:cols>
      <w:pgMar w:left="240" w:top="88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2019-12-29T01:35:05Z</dcterms:created>
  <dcterms:modified xsi:type="dcterms:W3CDTF">2019-12-29T01:35:05Z</dcterms:modified>
</cp:coreProperties>
</file>