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rPr/>
      </w:pPr>
      <w:r>
        <w:rPr>
          <w:color w:val="000000"/>
        </w:rPr>
        <w:t> </w:t>
      </w: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tbl>
      <w:tblPr>
        <w:tblW w:w="9507" w:type="dxa"/>
        <w:jc w:val="center"/>
        <w:tblInd w:w="0" w:type="dxa"/>
        <w:tblLayout w:type="fixed"/>
        <w:tblCellMar>
          <w:top w:w="28" w:type="dxa"/>
          <w:left w:w="28" w:type="dxa"/>
          <w:bottom w:w="28" w:type="dxa"/>
          <w:right w:w="28" w:type="dxa"/>
        </w:tblCellMar>
      </w:tblPr>
      <w:tblGrid>
        <w:gridCol w:w="124"/>
        <w:gridCol w:w="109"/>
        <w:gridCol w:w="109"/>
        <w:gridCol w:w="2683"/>
        <w:gridCol w:w="2683"/>
        <w:gridCol w:w="37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r>
        <w:rPr>
          <w:rFonts w:ascii="Times New Roman;sans-serif" w:hAnsi="Times New Roman;sans-serif"/>
          <w:b/>
          <w:color w:val="000000"/>
          <w:sz w:val="20"/>
        </w:rPr>
        <w:t xml:space="preserv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1-31234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p>
      <w:pPr>
        <w:pStyle w:val="TextBody"/>
        <w:bidi w:val="0"/>
        <w:spacing w:lineRule="auto" w:line="288" w:before="160" w:after="283"/>
        <w:jc w:val="center"/>
        <w:rPr/>
      </w:pPr>
      <w:r>
        <w:rPr>
          <w:rFonts w:ascii="Times New Roman;sans-serif" w:hAnsi="Times New Roman;sans-serif"/>
          <w:b/>
          <w:color w:val="000000"/>
          <w:sz w:val="40"/>
        </w:rPr>
        <w:t>WESTWOOD HOLDINGS GROUP, INC.</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tbl>
      <w:tblPr>
        <w:tblW w:w="7149" w:type="dxa"/>
        <w:jc w:val="center"/>
        <w:tblInd w:w="0" w:type="dxa"/>
        <w:tblLayout w:type="fixed"/>
        <w:tblCellMar>
          <w:top w:w="28" w:type="dxa"/>
          <w:left w:w="28" w:type="dxa"/>
          <w:bottom w:w="28" w:type="dxa"/>
          <w:right w:w="28" w:type="dxa"/>
        </w:tblCellMar>
      </w:tblPr>
      <w:tblGrid>
        <w:gridCol w:w="788"/>
        <w:gridCol w:w="692"/>
        <w:gridCol w:w="692"/>
        <w:gridCol w:w="692"/>
        <w:gridCol w:w="692"/>
        <w:gridCol w:w="732"/>
        <w:gridCol w:w="109"/>
        <w:gridCol w:w="109"/>
        <w:gridCol w:w="109"/>
        <w:gridCol w:w="740"/>
        <w:gridCol w:w="740"/>
        <w:gridCol w:w="10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75-2969997</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 CRESCENT COURT, SUITE 1200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DALLAS,</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75201</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(214) 756-6900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(Former name, former address and former fiscal year, if changed since last report) </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633" w:type="dxa"/>
        <w:jc w:val="center"/>
        <w:tblInd w:w="0" w:type="dxa"/>
        <w:tblLayout w:type="fixed"/>
        <w:tblCellMar>
          <w:top w:w="28" w:type="dxa"/>
          <w:left w:w="28" w:type="dxa"/>
          <w:bottom w:w="28" w:type="dxa"/>
          <w:right w:w="28" w:type="dxa"/>
        </w:tblCellMar>
      </w:tblPr>
      <w:tblGrid>
        <w:gridCol w:w="1092"/>
        <w:gridCol w:w="963"/>
        <w:gridCol w:w="975"/>
        <w:gridCol w:w="414"/>
        <w:gridCol w:w="414"/>
        <w:gridCol w:w="416"/>
        <w:gridCol w:w="983"/>
        <w:gridCol w:w="983"/>
        <w:gridCol w:w="1393"/>
      </w:tblGrid>
      <w:tr>
        <w:trPr/>
        <w:tc>
          <w:tcPr>
            <w:tcW w:w="109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Trading Symbol</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Name of Each Exchange on Which Registered</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WHG</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 </w:t>
      </w:r>
    </w:p>
    <w:tbl>
      <w:tblPr>
        <w:tblW w:w="5370"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3"/>
        <w:gridCol w:w="673"/>
        <w:gridCol w:w="678"/>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accounting standards provided pursuant to Section 13(a) of the Exchange Act.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 xml:space="preserve">☒ </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common stock, par value $0.01 per share, outstanding as of April 24, 2025: 9,379,680.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INDEX </w:t>
      </w:r>
    </w:p>
    <w:p>
      <w:pPr>
        <w:pStyle w:val="TextBody"/>
        <w:bidi w:val="0"/>
        <w:spacing w:lineRule="auto" w:line="288" w:before="0" w:after="0"/>
        <w:jc w:val="left"/>
        <w:rPr>
          <w:color w:val="000000"/>
        </w:rPr>
      </w:pPr>
      <w:r>
        <w:rPr>
          <w:color w:val="000000"/>
        </w:rPr>
        <w:t> </w:t>
      </w:r>
    </w:p>
    <w:tbl>
      <w:tblPr>
        <w:tblW w:w="8202" w:type="dxa"/>
        <w:jc w:val="left"/>
        <w:tblInd w:w="0" w:type="dxa"/>
        <w:tblLayout w:type="fixed"/>
        <w:tblCellMar>
          <w:top w:w="28" w:type="dxa"/>
          <w:left w:w="28" w:type="dxa"/>
          <w:bottom w:w="28" w:type="dxa"/>
          <w:right w:w="28" w:type="dxa"/>
        </w:tblCellMar>
      </w:tblPr>
      <w:tblGrid>
        <w:gridCol w:w="272"/>
        <w:gridCol w:w="238"/>
        <w:gridCol w:w="240"/>
        <w:gridCol w:w="109"/>
        <w:gridCol w:w="109"/>
        <w:gridCol w:w="109"/>
        <w:gridCol w:w="2163"/>
        <w:gridCol w:w="2163"/>
        <w:gridCol w:w="2168"/>
        <w:gridCol w:w="184"/>
        <w:gridCol w:w="184"/>
        <w:gridCol w:w="263"/>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INFORMATION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Financial Statements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15cffd89f1a547ec856ab50dc5fee32a_13">
              <w:r>
                <w:rPr>
                  <w:rStyle w:val="InternetLink"/>
                  <w:rFonts w:ascii="Times New Roman;sans-serif" w:hAnsi="Times New Roman;sans-serif"/>
                  <w:b w:val="false"/>
                  <w:color w:val="0000FF"/>
                  <w:sz w:val="18"/>
                  <w:u w:val="single"/>
                </w:rPr>
                <w:t>Condensed Consolidated Balance Sheets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13">
              <w:r>
                <w:rPr>
                  <w:rStyle w:val="InternetLink"/>
                  <w:rFonts w:ascii="Times New Roman;sans-serif" w:hAnsi="Times New Roman;sans-serif"/>
                  <w:b w:val="false"/>
                  <w:strike w:val="false"/>
                  <w:dstrike w:val="false"/>
                  <w:color w:val="0000FF"/>
                  <w:sz w:val="18"/>
                  <w:u w:val="none"/>
                  <w:effect w:val="none"/>
                </w:rPr>
                <w:t>1</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19">
              <w:r>
                <w:rPr>
                  <w:rStyle w:val="InternetLink"/>
                  <w:rFonts w:ascii="Times New Roman;sans-serif" w:hAnsi="Times New Roman;sans-serif"/>
                  <w:b w:val="false"/>
                  <w:color w:val="000080"/>
                  <w:sz w:val="18"/>
                  <w:u w:val="single"/>
                </w:rPr>
                <w:t xml:space="preserve">Condensed Consolidated Statements of </w:t>
              </w:r>
            </w:hyperlink>
            <w:hyperlink w:anchor="i15cffd89f1a547ec856ab50dc5fee32a_19">
              <w:r>
                <w:rPr>
                  <w:rStyle w:val="InternetLink"/>
                  <w:rFonts w:ascii="Times New Roman;sans-serif" w:hAnsi="Times New Roman;sans-serif"/>
                  <w:b w:val="false"/>
                  <w:color w:val="000080"/>
                  <w:sz w:val="18"/>
                  <w:u w:val="single"/>
                </w:rPr>
                <w:t>Operations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19">
              <w:r>
                <w:rPr>
                  <w:rStyle w:val="InternetLink"/>
                  <w:rFonts w:ascii="Times New Roman;sans-serif" w:hAnsi="Times New Roman;sans-serif"/>
                  <w:b w:val="false"/>
                  <w:strike w:val="false"/>
                  <w:dstrike w:val="false"/>
                  <w:color w:val="0000FF"/>
                  <w:sz w:val="18"/>
                  <w:u w:val="none"/>
                  <w:effect w:val="none"/>
                </w:rPr>
                <w:t>2</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22">
              <w:r>
                <w:rPr>
                  <w:rStyle w:val="InternetLink"/>
                  <w:rFonts w:ascii="Times New Roman;sans-serif" w:hAnsi="Times New Roman;sans-serif"/>
                  <w:b w:val="false"/>
                  <w:color w:val="0000FF"/>
                  <w:sz w:val="18"/>
                  <w:u w:val="single"/>
                </w:rPr>
                <w:t>Condensed Consolidated Statements of Stockholders’ Equity</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22">
              <w:r>
                <w:rPr>
                  <w:rStyle w:val="InternetLink"/>
                  <w:rFonts w:ascii="Times New Roman;sans-serif" w:hAnsi="Times New Roman;sans-serif"/>
                  <w:b w:val="false"/>
                  <w:strike w:val="false"/>
                  <w:dstrike w:val="false"/>
                  <w:color w:val="0000FF"/>
                  <w:sz w:val="18"/>
                  <w:u w:val="none"/>
                  <w:effect w:val="none"/>
                </w:rPr>
                <w:t>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31">
              <w:r>
                <w:rPr>
                  <w:rStyle w:val="InternetLink"/>
                  <w:rFonts w:ascii="Times New Roman;sans-serif" w:hAnsi="Times New Roman;sans-serif"/>
                  <w:b w:val="false"/>
                  <w:color w:val="0000FF"/>
                  <w:sz w:val="18"/>
                  <w:u w:val="single"/>
                </w:rPr>
                <w:t>Condensed Consolidated Statements of Cash Flows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31">
              <w:r>
                <w:rPr>
                  <w:rStyle w:val="InternetLink"/>
                  <w:rFonts w:ascii="Times New Roman;sans-serif" w:hAnsi="Times New Roman;sans-serif"/>
                  <w:b w:val="false"/>
                  <w:strike w:val="false"/>
                  <w:dstrike w:val="false"/>
                  <w:color w:val="0000FF"/>
                  <w:sz w:val="18"/>
                  <w:u w:val="none"/>
                  <w:effect w:val="none"/>
                </w:rPr>
                <w:t>4</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34">
              <w:r>
                <w:rPr>
                  <w:rStyle w:val="InternetLink"/>
                  <w:rFonts w:ascii="Times New Roman;sans-serif" w:hAnsi="Times New Roman;sans-serif"/>
                  <w:b w:val="false"/>
                  <w:color w:val="0000FF"/>
                  <w:sz w:val="18"/>
                  <w:u w:val="single"/>
                </w:rPr>
                <w:t>Notes to Condensed Consolidated Financial Statements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34">
              <w:r>
                <w:rPr>
                  <w:rStyle w:val="InternetLink"/>
                  <w:rFonts w:ascii="Times New Roman;sans-serif" w:hAnsi="Times New Roman;sans-serif"/>
                  <w:b w:val="false"/>
                  <w:strike w:val="false"/>
                  <w:dstrike w:val="false"/>
                  <w:color w:val="0000FF"/>
                  <w:sz w:val="18"/>
                  <w:u w:val="none"/>
                  <w:effect w:val="none"/>
                </w:rPr>
                <w:t>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94">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94">
              <w:r>
                <w:rPr>
                  <w:rStyle w:val="InternetLink"/>
                  <w:rFonts w:ascii="Times New Roman;sans-serif" w:hAnsi="Times New Roman;sans-serif"/>
                  <w:b w:val="false"/>
                  <w:strike w:val="false"/>
                  <w:dstrike w:val="false"/>
                  <w:color w:val="0000FF"/>
                  <w:sz w:val="18"/>
                  <w:u w:val="none"/>
                  <w:effect w:val="none"/>
                </w:rPr>
                <w:t>15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139">
              <w:r>
                <w:rPr>
                  <w:rStyle w:val="InternetLink"/>
                  <w:rFonts w:ascii="Times New Roman;sans-serif" w:hAnsi="Times New Roman;sans-serif"/>
                  <w:b w:val="false"/>
                  <w:color w:val="0000FF"/>
                  <w:sz w:val="18"/>
                  <w:u w:val="single"/>
                </w:rPr>
                <w:t>Quantitative and Qualitative Disclosures About Market Risk</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139">
              <w:r>
                <w:rPr>
                  <w:rStyle w:val="InternetLink"/>
                  <w:rFonts w:ascii="Times New Roman;sans-serif" w:hAnsi="Times New Roman;sans-serif"/>
                  <w:b w:val="false"/>
                  <w:strike w:val="false"/>
                  <w:dstrike w:val="false"/>
                  <w:color w:val="0000FF"/>
                  <w:sz w:val="18"/>
                  <w:u w:val="none"/>
                  <w:effect w:val="none"/>
                </w:rPr>
                <w:t>22</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142">
              <w:r>
                <w:rPr>
                  <w:rStyle w:val="InternetLink"/>
                  <w:rFonts w:ascii="Times New Roman;sans-serif" w:hAnsi="Times New Roman;sans-serif"/>
                  <w:b w:val="false"/>
                  <w:color w:val="0000FF"/>
                  <w:sz w:val="18"/>
                  <w:u w:val="single"/>
                </w:rPr>
                <w:t>Controls and Procedures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142">
              <w:r>
                <w:rPr>
                  <w:rStyle w:val="InternetLink"/>
                  <w:rFonts w:ascii="Times New Roman;sans-serif" w:hAnsi="Times New Roman;sans-serif"/>
                  <w:b w:val="false"/>
                  <w:strike w:val="false"/>
                  <w:dstrike w:val="false"/>
                  <w:color w:val="0000FF"/>
                  <w:sz w:val="18"/>
                  <w:u w:val="none"/>
                  <w:effect w:val="none"/>
                </w:rPr>
                <w:t>22</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145">
              <w:r>
                <w:rPr>
                  <w:rStyle w:val="InternetLink"/>
                  <w:rFonts w:ascii="Times New Roman;sans-serif" w:hAnsi="Times New Roman;sans-serif"/>
                  <w:b w:val="false"/>
                  <w:color w:val="0000FF"/>
                  <w:sz w:val="18"/>
                  <w:u w:val="single"/>
                </w:rPr>
                <w:t>OTHER INFORMATION</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145">
              <w:r>
                <w:rPr>
                  <w:rStyle w:val="InternetLink"/>
                  <w:rFonts w:ascii="Times New Roman;sans-serif" w:hAnsi="Times New Roman;sans-serif"/>
                  <w:b w:val="false"/>
                  <w:strike w:val="false"/>
                  <w:dstrike w:val="false"/>
                  <w:color w:val="0000FF"/>
                  <w:sz w:val="18"/>
                  <w:u w:val="none"/>
                  <w:effect w:val="none"/>
                </w:rPr>
                <w:t>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148">
              <w:r>
                <w:rPr>
                  <w:rStyle w:val="InternetLink"/>
                  <w:rFonts w:ascii="Times New Roman;sans-serif" w:hAnsi="Times New Roman;sans-serif"/>
                  <w:b w:val="false"/>
                  <w:color w:val="0000FF"/>
                  <w:sz w:val="18"/>
                  <w:u w:val="single"/>
                </w:rPr>
                <w:t>Legal Proceedings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148">
              <w:r>
                <w:rPr>
                  <w:rStyle w:val="InternetLink"/>
                  <w:rFonts w:ascii="Times New Roman;sans-serif" w:hAnsi="Times New Roman;sans-serif"/>
                  <w:b w:val="false"/>
                  <w:strike w:val="false"/>
                  <w:dstrike w:val="false"/>
                  <w:color w:val="0000FF"/>
                  <w:sz w:val="18"/>
                  <w:u w:val="none"/>
                  <w:effect w:val="none"/>
                </w:rPr>
                <w:t>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151">
              <w:r>
                <w:rPr>
                  <w:rStyle w:val="InternetLink"/>
                  <w:rFonts w:ascii="Times New Roman;sans-serif" w:hAnsi="Times New Roman;sans-serif"/>
                  <w:b w:val="false"/>
                  <w:color w:val="0000FF"/>
                  <w:sz w:val="18"/>
                  <w:u w:val="single"/>
                </w:rPr>
                <w:t>Risk Factors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151">
              <w:r>
                <w:rPr>
                  <w:rStyle w:val="InternetLink"/>
                  <w:rFonts w:ascii="Times New Roman;sans-serif" w:hAnsi="Times New Roman;sans-serif"/>
                  <w:b w:val="false"/>
                  <w:strike w:val="false"/>
                  <w:dstrike w:val="false"/>
                  <w:color w:val="0000FF"/>
                  <w:sz w:val="18"/>
                  <w:u w:val="none"/>
                  <w:effect w:val="none"/>
                </w:rPr>
                <w:t>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154">
              <w:r>
                <w:rPr>
                  <w:rStyle w:val="InternetLink"/>
                  <w:rFonts w:ascii="Times New Roman;sans-serif" w:hAnsi="Times New Roman;sans-serif"/>
                  <w:b w:val="false"/>
                  <w:color w:val="0000FF"/>
                  <w:sz w:val="18"/>
                  <w:u w:val="single"/>
                </w:rPr>
                <w:t>Unregistered Sales of Equity Securities and Use of Proceeds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154">
              <w:r>
                <w:rPr>
                  <w:rStyle w:val="InternetLink"/>
                  <w:rFonts w:ascii="Times New Roman;sans-serif" w:hAnsi="Times New Roman;sans-serif"/>
                  <w:b w:val="false"/>
                  <w:strike w:val="false"/>
                  <w:dstrike w:val="false"/>
                  <w:color w:val="0000FF"/>
                  <w:sz w:val="18"/>
                  <w:u w:val="none"/>
                  <w:effect w:val="none"/>
                </w:rPr>
                <w:t>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157">
              <w:r>
                <w:rPr>
                  <w:rStyle w:val="InternetLink"/>
                  <w:rFonts w:ascii="Times New Roman;sans-serif" w:hAnsi="Times New Roman;sans-serif"/>
                  <w:b w:val="false"/>
                  <w:color w:val="0000FF"/>
                  <w:sz w:val="18"/>
                  <w:u w:val="single"/>
                </w:rPr>
                <w:t>Exhibits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157">
              <w:r>
                <w:rPr>
                  <w:rStyle w:val="InternetLink"/>
                  <w:rFonts w:ascii="Times New Roman;sans-serif" w:hAnsi="Times New Roman;sans-serif"/>
                  <w:b w:val="false"/>
                  <w:strike w:val="false"/>
                  <w:dstrike w:val="false"/>
                  <w:color w:val="0000FF"/>
                  <w:sz w:val="18"/>
                  <w:u w:val="none"/>
                  <w:effect w:val="none"/>
                </w:rPr>
                <w:t>24</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5cffd89f1a547ec856ab50dc5fee32a_160">
              <w:r>
                <w:rPr>
                  <w:rStyle w:val="InternetLink"/>
                  <w:rFonts w:ascii="Times New Roman;sans-serif" w:hAnsi="Times New Roman;sans-serif"/>
                  <w:b w:val="false"/>
                  <w:color w:val="0000FF"/>
                  <w:sz w:val="18"/>
                  <w:u w:val="single"/>
                </w:rPr>
                <w:t>Signatures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cffd89f1a547ec856ab50dc5fee32a_160">
              <w:r>
                <w:rPr>
                  <w:rStyle w:val="InternetLink"/>
                  <w:rFonts w:ascii="Times New Roman;sans-serif" w:hAnsi="Times New Roman;sans-serif"/>
                  <w:b w:val="false"/>
                  <w:strike w:val="false"/>
                  <w:dstrike w:val="false"/>
                  <w:color w:val="0000FF"/>
                  <w:sz w:val="18"/>
                  <w:u w:val="none"/>
                  <w:effect w:val="none"/>
                </w:rPr>
                <w:t>25</w:t>
              </w:r>
            </w:hyperlink>
          </w:p>
        </w:tc>
      </w:tr>
    </w:tbl>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par value and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50"/>
        <w:gridCol w:w="2245"/>
        <w:gridCol w:w="2271"/>
        <w:gridCol w:w="219"/>
        <w:gridCol w:w="823"/>
        <w:gridCol w:w="122"/>
        <w:gridCol w:w="109"/>
        <w:gridCol w:w="109"/>
        <w:gridCol w:w="109"/>
        <w:gridCol w:w="242"/>
        <w:gridCol w:w="911"/>
        <w:gridCol w:w="195"/>
      </w:tblGrid>
      <w:tr>
        <w:trPr/>
        <w:tc>
          <w:tcPr>
            <w:tcW w:w="2850"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18,847 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14,453 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 at fair value (amortized cost of $18,216 and $26,788)</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27,694 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 under measurement alternative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10,747 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method investments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receivable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6,780 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right-of-use assets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assets, net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 of accumulated depreciation of $8,556 and $8,424</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134,988 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149,989 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 AND STOCKHOLDERS' EQUITY</w:t>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and accrued liabilities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payable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Compensation and benefits payable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10,924 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Contingent consideration</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4,657 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27,657 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10)</w:t>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Stockholders' Equity:</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authorized 25,000,000 shares, issued 12,363,367 and 12,137,080, respectively and outstanding 9,379,675 and 9,234,575, respectively</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202,299 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202,239 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Treasury stock, at cost – 2,983,692 and 2,902,505, respectively</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(89,612)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(88,277)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6,207 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Westwood Holdings Group, Inc. stockholders’ equity</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119,346 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120,291 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Noncontrolling interest in consolidated subsidiary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equity</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121,386 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122,332 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and stockholders' equity</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134,988 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149,989 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840"/>
                <wp:effectExtent l="0" t="0" r="0" b="0"/>
                <wp:wrapNone/>
                <wp:docPr id="3" name="Frame3"/>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WESTWOOD HOLDINGS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per share data and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left"/>
        <w:rPr>
          <w:color w:val="000000"/>
        </w:rPr>
      </w:pPr>
      <w:r>
        <w:rPr>
          <w:color w:val="000000"/>
        </w:rPr>
        <w:t> </w:t>
      </w:r>
    </w:p>
    <w:tbl>
      <w:tblPr>
        <w:tblW w:w="7258" w:type="dxa"/>
        <w:jc w:val="left"/>
        <w:tblInd w:w="0" w:type="dxa"/>
        <w:tblLayout w:type="fixed"/>
        <w:tblCellMar>
          <w:top w:w="28" w:type="dxa"/>
          <w:left w:w="28" w:type="dxa"/>
          <w:bottom w:w="28" w:type="dxa"/>
          <w:right w:w="28" w:type="dxa"/>
        </w:tblCellMar>
      </w:tblPr>
      <w:tblGrid>
        <w:gridCol w:w="1586"/>
        <w:gridCol w:w="1393"/>
        <w:gridCol w:w="1401"/>
        <w:gridCol w:w="211"/>
        <w:gridCol w:w="695"/>
        <w:gridCol w:w="117"/>
        <w:gridCol w:w="117"/>
        <w:gridCol w:w="117"/>
        <w:gridCol w:w="117"/>
        <w:gridCol w:w="211"/>
        <w:gridCol w:w="695"/>
        <w:gridCol w:w="117"/>
        <w:gridCol w:w="109"/>
        <w:gridCol w:w="109"/>
        <w:gridCol w:w="109"/>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Advisory fees: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Asset-based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fees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compensation and benefits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Westwood mutual funds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Information technology</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from change in fair value of contingent consideration</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operating income (loss)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income (loss) attributable to noncontrolling interest</w:t>
            </w:r>
          </w:p>
        </w:tc>
        <w:tc>
          <w:tcPr>
            <w:tcW w:w="9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attributable to Westwood Holdings Group,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w:t>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outstanding:</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8,253,912 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8,099,028 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8,781,743 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8,392,496 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840"/>
                <wp:effectExtent l="0" t="0" r="0" b="0"/>
                <wp:wrapNone/>
                <wp:docPr id="4" name="Frame4"/>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Months Ended March 31, 2025 and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52"/>
        <w:gridCol w:w="270"/>
        <w:gridCol w:w="271"/>
        <w:gridCol w:w="435"/>
        <w:gridCol w:w="436"/>
        <w:gridCol w:w="196"/>
        <w:gridCol w:w="109"/>
        <w:gridCol w:w="109"/>
        <w:gridCol w:w="109"/>
        <w:gridCol w:w="196"/>
        <w:gridCol w:w="422"/>
        <w:gridCol w:w="109"/>
        <w:gridCol w:w="109"/>
        <w:gridCol w:w="109"/>
        <w:gridCol w:w="109"/>
        <w:gridCol w:w="202"/>
        <w:gridCol w:w="758"/>
        <w:gridCol w:w="112"/>
        <w:gridCol w:w="109"/>
        <w:gridCol w:w="109"/>
        <w:gridCol w:w="109"/>
        <w:gridCol w:w="197"/>
        <w:gridCol w:w="667"/>
        <w:gridCol w:w="109"/>
        <w:gridCol w:w="109"/>
        <w:gridCol w:w="109"/>
        <w:gridCol w:w="109"/>
        <w:gridCol w:w="109"/>
        <w:gridCol w:w="109"/>
        <w:gridCol w:w="200"/>
        <w:gridCol w:w="567"/>
        <w:gridCol w:w="111"/>
        <w:gridCol w:w="109"/>
        <w:gridCol w:w="109"/>
        <w:gridCol w:w="109"/>
        <w:gridCol w:w="277"/>
        <w:gridCol w:w="787"/>
        <w:gridCol w:w="155"/>
        <w:gridCol w:w="109"/>
        <w:gridCol w:w="109"/>
        <w:gridCol w:w="109"/>
        <w:gridCol w:w="196"/>
        <w:gridCol w:w="736"/>
        <w:gridCol w:w="164"/>
      </w:tblGrid>
      <w:tr>
        <w:trPr/>
        <w:tc>
          <w:tcPr>
            <w:tcW w:w="4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9,234,575 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202,239 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($0.15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returned for payment of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2025</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9,379,675 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202,299 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121,386 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86"/>
        <w:gridCol w:w="306"/>
        <w:gridCol w:w="307"/>
        <w:gridCol w:w="435"/>
        <w:gridCol w:w="436"/>
        <w:gridCol w:w="196"/>
        <w:gridCol w:w="110"/>
        <w:gridCol w:w="110"/>
        <w:gridCol w:w="110"/>
        <w:gridCol w:w="198"/>
        <w:gridCol w:w="425"/>
        <w:gridCol w:w="110"/>
        <w:gridCol w:w="109"/>
        <w:gridCol w:w="109"/>
        <w:gridCol w:w="109"/>
        <w:gridCol w:w="210"/>
        <w:gridCol w:w="789"/>
        <w:gridCol w:w="116"/>
        <w:gridCol w:w="109"/>
        <w:gridCol w:w="109"/>
        <w:gridCol w:w="109"/>
        <w:gridCol w:w="198"/>
        <w:gridCol w:w="675"/>
        <w:gridCol w:w="110"/>
        <w:gridCol w:w="109"/>
        <w:gridCol w:w="109"/>
        <w:gridCol w:w="109"/>
        <w:gridCol w:w="205"/>
        <w:gridCol w:w="584"/>
        <w:gridCol w:w="114"/>
        <w:gridCol w:w="109"/>
        <w:gridCol w:w="109"/>
        <w:gridCol w:w="109"/>
        <w:gridCol w:w="283"/>
        <w:gridCol w:w="804"/>
        <w:gridCol w:w="158"/>
        <w:gridCol w:w="109"/>
        <w:gridCol w:w="109"/>
        <w:gridCol w:w="109"/>
        <w:gridCol w:w="196"/>
        <w:gridCol w:w="736"/>
        <w:gridCol w:w="163"/>
      </w:tblGrid>
      <w:tr>
        <w:trPr/>
        <w:tc>
          <w:tcPr>
            <w:tcW w:w="4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9,140,760 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201,622 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(85,990)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122,446 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($0.15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returned for payment of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2024</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9,330,762 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201,899 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(86,930)</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123,755 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840"/>
                <wp:effectExtent l="0" t="0" r="0" b="0"/>
                <wp:wrapNone/>
                <wp:docPr id="5" name="Frame5"/>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8817" w:type="dxa"/>
        <w:jc w:val="center"/>
        <w:tblInd w:w="0" w:type="dxa"/>
        <w:tblLayout w:type="fixed"/>
        <w:tblCellMar>
          <w:top w:w="28" w:type="dxa"/>
          <w:left w:w="28" w:type="dxa"/>
          <w:bottom w:w="28" w:type="dxa"/>
          <w:right w:w="28" w:type="dxa"/>
        </w:tblCellMar>
      </w:tblPr>
      <w:tblGrid>
        <w:gridCol w:w="2310"/>
        <w:gridCol w:w="2026"/>
        <w:gridCol w:w="2038"/>
        <w:gridCol w:w="219"/>
        <w:gridCol w:w="622"/>
        <w:gridCol w:w="122"/>
        <w:gridCol w:w="122"/>
        <w:gridCol w:w="122"/>
        <w:gridCol w:w="122"/>
        <w:gridCol w:w="219"/>
        <w:gridCol w:w="723"/>
        <w:gridCol w:w="172"/>
      </w:tblGrid>
      <w:tr>
        <w:trPr/>
        <w:tc>
          <w:tcPr>
            <w:tcW w:w="231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OPERATING ACTIVITIES:</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income to net cash provided by (used in) operating activities: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intangible assets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change in unrealized (appreciation) depreciation on investments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lease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Fair value change of contingent consideration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operating assets and liabilities: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(purchases) sales of trading securities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current assets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and accrued liabilities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Compensation and benefits payable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Contingent consideration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provided by operating activities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(4,900)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8,133 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INVESTING ACTIVITIES:</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 of property and equipment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 of investments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Additions to internally developed software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investing activities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FINANCING ACTIVITIES:</w:t>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stock returned for payment of taxes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of contingent consideration in acquisition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dividends paid</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financing activities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(3,111)</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(2,664)</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CHANGE IN CASH AND CASH EQUIVALENTS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(9,429)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5,466 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beginning of period</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18,847 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20,422 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end of period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9,418 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25,888 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SUPPLEMENTAL CASH FLOW INFORMATION:</w:t>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during the period for income taxes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dividends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operating lease right-of-use assets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THE BUSINESS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 (“Westwood”, “the Company”, “we”, “us” or “our”) was incorporated under the laws of the State of Delaware on December 12, 2001. Westwood manages investment assets and provides services for its clients through its subsidiaries, Westwood Management Corp., Westwood Advisors, L.L.C., Salient Advisors, L.P. ("Salient Advisors"), Broadmark Asset Management LLC ("Broadmark") and Salient Capital L.P. ("SCLP"), (referred to hereinafter together as “Westwood Management”), and Westwood Trust.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assets under advisement ("AUA"), and fluctuations in financial markets and in the composition of AUM impact our revenues and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Westwood Management is registered with the Securities and Exchange Commission ("SEC") as an investment adviser under the Investment Advisers Act of 1940, as amended. Westwood Trust is chartered and regulated by the Texas Department of Banking.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left"/>
        <w:rPr/>
      </w:pPr>
      <w:r>
        <w:rPr>
          <w:color w:val="000000"/>
        </w:rPr>
        <w:t> </w:t>
      </w:r>
      <w:r>
        <w:rPr>
          <w:rFonts w:ascii="Times New Roman;sans-serif" w:hAnsi="Times New Roman;sans-serif"/>
          <w:b/>
          <w:color w:val="000000"/>
          <w:sz w:val="20"/>
        </w:rPr>
        <w:t xml:space="preserve">Basis of Presentation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to a fair statement of our interim financial position and results of operations and cash flows for the periods presented. The accompanying Condensed Consolidated Financial Statements are presented in accordance with GAAP and the rules and regulations of the SEC. The Condensed Consolidated Balance Sheets have been reclassified to unclassified balance sheets to better reflect the nature of the Company’s operations. Prior year amounts have been reclassified for consistency with the current year presentation.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should be read in conjunction with our Consolidated Financial Statements, and notes thereto, included in our Annual Report on Form 10-K for the year ended December 31, 2024.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On January 1, 2025, ASU 2023-09, </w:t>
      </w:r>
      <w:r>
        <w:rPr>
          <w:rFonts w:ascii="Times New Roman;sans-serif" w:hAnsi="Times New Roman;sans-serif"/>
          <w:b w:val="false"/>
          <w:i/>
          <w:color w:val="000000"/>
          <w:sz w:val="20"/>
        </w:rPr>
        <w:t>Income Taxes (Topic 740): Improvements to Income Tax Disclosures</w:t>
      </w:r>
      <w:r>
        <w:rPr>
          <w:color w:val="000000"/>
        </w:rPr>
        <w:t> </w:t>
      </w:r>
      <w:r>
        <w:rPr>
          <w:rFonts w:ascii="Times New Roman;sans-serif" w:hAnsi="Times New Roman;sans-serif"/>
          <w:b w:val="false"/>
          <w:color w:val="000000"/>
          <w:sz w:val="20"/>
        </w:rPr>
        <w:t>("ASU 2023-09"), became effective and requires, among other things, greater disaggregation of information in the rate reconciliation and for paid income taxes to be disaggregated by jurisdiction. ASU 2023-09 affects financial statement disclosure only, which is not required until year end 2025 and, as a result, does not affect our results of operations or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Statement Reporting</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In November 2024, The FASB issued ASU 2024-03,</w:t>
      </w:r>
      <w:r>
        <w:rPr>
          <w:color w:val="000000"/>
        </w:rPr>
        <w:t xml:space="preserve"> </w:t>
      </w:r>
      <w:r>
        <w:rPr>
          <w:rFonts w:ascii="Times New Roman;sans-serif" w:hAnsi="Times New Roman;sans-serif"/>
          <w:b w:val="false"/>
          <w:i/>
          <w:color w:val="000000"/>
          <w:sz w:val="20"/>
        </w:rPr>
        <w:t>Income Statement-Reporting Comprehensive Income-Expense Disaggregation Disclosures</w:t>
      </w:r>
      <w:r>
        <w:rPr>
          <w:color w:val="000000"/>
        </w:rPr>
        <w:t xml:space="preserve"> </w:t>
      </w:r>
      <w:r>
        <w:rPr>
          <w:rFonts w:ascii="Times New Roman;sans-serif" w:hAnsi="Times New Roman;sans-serif"/>
          <w:b w:val="false"/>
          <w:i/>
          <w:color w:val="000000"/>
          <w:sz w:val="20"/>
        </w:rPr>
        <w:t xml:space="preserve">(Subtopic 220-40): Disaggregation of Income Statement Expenses </w:t>
      </w:r>
      <w:r>
        <w:rPr>
          <w:rFonts w:ascii="Times New Roman;sans-serif" w:hAnsi="Times New Roman;sans-serif"/>
          <w:b w:val="false"/>
          <w:color w:val="000000"/>
          <w:sz w:val="20"/>
        </w:rPr>
        <w:t xml:space="preserve">("ASU 2024-03"). ASU 2024-03 requires public companies to disclose, in the notes to financial statements, specified information about certain costs and expenses at each interim and annual reporting period. The FASB further clarified the effective date in January 2025 with the issuance of ASU 2025-01, </w:t>
      </w:r>
      <w:r>
        <w:rPr>
          <w:rFonts w:ascii="Times New Roman;sans-serif" w:hAnsi="Times New Roman;sans-serif"/>
          <w:b w:val="false"/>
          <w:i/>
          <w:color w:val="000000"/>
          <w:sz w:val="20"/>
        </w:rPr>
        <w:t>Income Statement - Reporting Comprehensive Income - Expense Disaggregation Disclosures</w:t>
      </w:r>
      <w:r>
        <w:rPr>
          <w:color w:val="000000"/>
        </w:rPr>
        <w:t xml:space="preserve"> </w:t>
      </w:r>
      <w:r>
        <w:rPr>
          <w:rFonts w:ascii="Times New Roman;sans-serif" w:hAnsi="Times New Roman;sans-serif"/>
          <w:b w:val="false"/>
          <w:i/>
          <w:color w:val="000000"/>
          <w:sz w:val="20"/>
        </w:rPr>
        <w:t>(Subtopic 220-40): Clarifying the Effective Date</w:t>
      </w:r>
      <w:r>
        <w:rPr>
          <w:color w:val="000000"/>
        </w:rPr>
        <w:t xml:space="preserve"> </w:t>
      </w:r>
      <w:r>
        <w:rPr>
          <w:rFonts w:ascii="Times New Roman;sans-serif" w:hAnsi="Times New Roman;sans-serif"/>
          <w:b w:val="false"/>
          <w:color w:val="000000"/>
          <w:sz w:val="20"/>
        </w:rPr>
        <w:t xml:space="preserve">("ASU 2025-01"). ASU 2024-03 is effective for annual periods beginning after December 15, 2026, and interim periods within annual reporting periods beginning after December 15, 2027, with early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 permitted. The requirements should be applied on a prospective basis while retrospective application is permitted. We are in the process of analyzing the impact of this ASU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REVENUE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new investment strategies. The "Other, net” revenues on our Condensed Consolidated Statements of Operations are the unrealized gains and losses</w:t>
      </w:r>
      <w:r>
        <w:rPr>
          <w:color w:val="000000"/>
        </w:rPr>
        <w:t xml:space="preserve"> </w:t>
      </w:r>
      <w:r>
        <w:rPr>
          <w:rFonts w:ascii="Times New Roman;sans-serif" w:hAnsi="Times New Roman;sans-serif"/>
          <w:b w:val="false"/>
          <w:color w:val="000000"/>
          <w:sz w:val="20"/>
        </w:rPr>
        <w:t xml:space="preserve">on our seed money investments, and our seed money investments are included in "Investments, at fair value" on our Condensed Consolidated Balance Sheets. Advisory and trust fees are calculated based on a percentage of AUM or AUA, as applicable, and the performance obligation is realized over the current calendar quarter. Once clients receive our investment advisory services we have an enforceable right to payment. </w:t>
      </w:r>
    </w:p>
    <w:p>
      <w:pPr>
        <w:pStyle w:val="TextBody"/>
        <w:bidi w:val="0"/>
        <w:spacing w:lineRule="auto" w:line="288" w:before="120" w:after="283"/>
        <w:jc w:val="left"/>
        <w:rPr/>
      </w:pPr>
      <w:r>
        <w:rPr>
          <w:rFonts w:ascii="Times New Roman;sans-serif" w:hAnsi="Times New Roman;sans-serif"/>
          <w:b/>
          <w:color w:val="000000"/>
          <w:sz w:val="20"/>
        </w:rPr>
        <w:t>Advisory Fee Revenues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advisory fees are generated by Westwood Management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Arrangements with Performance-Based Obligations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 Performance-based fees are paid after the performance obligation has been satisfied.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Trust Fee Revenues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fee revenues.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 Disaggregated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disaggregated by account type (in thousands).</w:t>
      </w:r>
    </w:p>
    <w:tbl>
      <w:tblPr>
        <w:tblW w:w="4872" w:type="dxa"/>
        <w:jc w:val="left"/>
        <w:tblInd w:w="0" w:type="dxa"/>
        <w:tblLayout w:type="fixed"/>
        <w:tblCellMar>
          <w:top w:w="28" w:type="dxa"/>
          <w:left w:w="28" w:type="dxa"/>
          <w:bottom w:w="28" w:type="dxa"/>
          <w:right w:w="28" w:type="dxa"/>
        </w:tblCellMar>
      </w:tblPr>
      <w:tblGrid>
        <w:gridCol w:w="657"/>
        <w:gridCol w:w="577"/>
        <w:gridCol w:w="581"/>
        <w:gridCol w:w="226"/>
        <w:gridCol w:w="772"/>
        <w:gridCol w:w="116"/>
        <w:gridCol w:w="116"/>
        <w:gridCol w:w="116"/>
        <w:gridCol w:w="116"/>
        <w:gridCol w:w="226"/>
        <w:gridCol w:w="772"/>
        <w:gridCol w:w="116"/>
        <w:gridCol w:w="109"/>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 Fees:</w:t>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Fees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disaggregated by our clients' geographical locations (in thousands):</w:t>
      </w:r>
    </w:p>
    <w:tbl>
      <w:tblPr>
        <w:tblW w:w="7988" w:type="dxa"/>
        <w:jc w:val="left"/>
        <w:tblInd w:w="0" w:type="dxa"/>
        <w:tblLayout w:type="fixed"/>
        <w:tblCellMar>
          <w:top w:w="28" w:type="dxa"/>
          <w:left w:w="28" w:type="dxa"/>
          <w:bottom w:w="28" w:type="dxa"/>
          <w:right w:w="28" w:type="dxa"/>
        </w:tblCellMar>
      </w:tblPr>
      <w:tblGrid>
        <w:gridCol w:w="1086"/>
        <w:gridCol w:w="953"/>
        <w:gridCol w:w="961"/>
        <w:gridCol w:w="211"/>
        <w:gridCol w:w="721"/>
        <w:gridCol w:w="109"/>
        <w:gridCol w:w="109"/>
        <w:gridCol w:w="109"/>
        <w:gridCol w:w="109"/>
        <w:gridCol w:w="211"/>
        <w:gridCol w:w="616"/>
        <w:gridCol w:w="109"/>
        <w:gridCol w:w="109"/>
        <w:gridCol w:w="109"/>
        <w:gridCol w:w="109"/>
        <w:gridCol w:w="109"/>
        <w:gridCol w:w="109"/>
        <w:gridCol w:w="211"/>
        <w:gridCol w:w="406"/>
        <w:gridCol w:w="109"/>
        <w:gridCol w:w="109"/>
        <w:gridCol w:w="109"/>
        <w:gridCol w:w="109"/>
        <w:gridCol w:w="211"/>
        <w:gridCol w:w="7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48" w:type="dxa"/>
        <w:jc w:val="center"/>
        <w:tblInd w:w="0" w:type="dxa"/>
        <w:tblLayout w:type="fixed"/>
        <w:tblCellMar>
          <w:top w:w="28" w:type="dxa"/>
          <w:left w:w="28" w:type="dxa"/>
          <w:bottom w:w="28" w:type="dxa"/>
          <w:right w:w="28" w:type="dxa"/>
        </w:tblCellMar>
      </w:tblPr>
      <w:tblGrid>
        <w:gridCol w:w="1086"/>
        <w:gridCol w:w="953"/>
        <w:gridCol w:w="961"/>
        <w:gridCol w:w="211"/>
        <w:gridCol w:w="721"/>
        <w:gridCol w:w="109"/>
        <w:gridCol w:w="109"/>
        <w:gridCol w:w="109"/>
        <w:gridCol w:w="109"/>
        <w:gridCol w:w="211"/>
        <w:gridCol w:w="616"/>
        <w:gridCol w:w="109"/>
        <w:gridCol w:w="109"/>
        <w:gridCol w:w="109"/>
        <w:gridCol w:w="109"/>
        <w:gridCol w:w="109"/>
        <w:gridCol w:w="109"/>
        <w:gridCol w:w="211"/>
        <w:gridCol w:w="466"/>
        <w:gridCol w:w="109"/>
        <w:gridCol w:w="109"/>
        <w:gridCol w:w="109"/>
        <w:gridCol w:w="109"/>
        <w:gridCol w:w="211"/>
        <w:gridCol w:w="7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4. SEGMENT REPORTING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our Chief Executive Officer, evaluates the performance of our segments based primarily on revenues. The CODM does not evaluate the performance of our segments on segment expenses so those have not been disclosed.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Advisory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 Westwood Management provides investment advisory services to similar clients, which are included in our Advisory segment.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Trust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Westwood Trust provides trust and custodial services and participation in common trust funds that it sponsors to institutions and high net worth individuals. Westwood Trust is included in our Trust segment.</w:t>
      </w:r>
    </w:p>
    <w:tbl>
      <w:tblPr>
        <w:tblW w:w="10030" w:type="dxa"/>
        <w:jc w:val="left"/>
        <w:tblInd w:w="0" w:type="dxa"/>
        <w:tblLayout w:type="fixed"/>
        <w:tblCellMar>
          <w:top w:w="28" w:type="dxa"/>
          <w:left w:w="28" w:type="dxa"/>
          <w:bottom w:w="28" w:type="dxa"/>
          <w:right w:w="28" w:type="dxa"/>
        </w:tblCellMar>
      </w:tblPr>
      <w:tblGrid>
        <w:gridCol w:w="1146"/>
        <w:gridCol w:w="1005"/>
        <w:gridCol w:w="1014"/>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811"/>
        <w:gridCol w:w="109"/>
        <w:gridCol w:w="109"/>
        <w:gridCol w:w="109"/>
        <w:gridCol w:w="109"/>
        <w:gridCol w:w="211"/>
        <w:gridCol w:w="793"/>
        <w:gridCol w:w="167"/>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Westwood</w:t>
              <w:br/>
              <w:t>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equity-method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expenditures for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equity-method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expenditures for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5. INVESTMENTS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investments consist of the following (in thousands):</w:t>
      </w:r>
    </w:p>
    <w:tbl>
      <w:tblPr>
        <w:tblW w:w="6760" w:type="dxa"/>
        <w:jc w:val="left"/>
        <w:tblInd w:w="0" w:type="dxa"/>
        <w:tblLayout w:type="fixed"/>
        <w:tblCellMar>
          <w:top w:w="28" w:type="dxa"/>
          <w:left w:w="28" w:type="dxa"/>
          <w:bottom w:w="28" w:type="dxa"/>
          <w:right w:w="28" w:type="dxa"/>
        </w:tblCellMar>
      </w:tblPr>
      <w:tblGrid>
        <w:gridCol w:w="1315"/>
        <w:gridCol w:w="1156"/>
        <w:gridCol w:w="1158"/>
        <w:gridCol w:w="259"/>
        <w:gridCol w:w="856"/>
        <w:gridCol w:w="144"/>
        <w:gridCol w:w="109"/>
        <w:gridCol w:w="109"/>
        <w:gridCol w:w="109"/>
        <w:gridCol w:w="304"/>
        <w:gridCol w:w="1002"/>
        <w:gridCol w:w="239"/>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at fair value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under measurement alternative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42,691 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Investments at Fair Value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carried at fair value are presented in the table below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 (Unaudited)</w:t>
      </w:r>
    </w:p>
    <w:p>
      <w:pPr>
        <w:pStyle w:val="TextBody"/>
        <w:bidi w:val="0"/>
        <w:spacing w:before="0" w:after="0"/>
        <w:jc w:val="center"/>
        <w:rPr/>
      </w:pPr>
      <w:r>
        <w:rPr/>
      </w:r>
    </w:p>
    <w:tbl>
      <w:tblPr>
        <w:tblW w:w="8482" w:type="dxa"/>
        <w:jc w:val="left"/>
        <w:tblInd w:w="0" w:type="dxa"/>
        <w:tblLayout w:type="fixed"/>
        <w:tblCellMar>
          <w:top w:w="28" w:type="dxa"/>
          <w:left w:w="28" w:type="dxa"/>
          <w:bottom w:w="28" w:type="dxa"/>
          <w:right w:w="28" w:type="dxa"/>
        </w:tblCellMar>
      </w:tblPr>
      <w:tblGrid>
        <w:gridCol w:w="1152"/>
        <w:gridCol w:w="1012"/>
        <w:gridCol w:w="1016"/>
        <w:gridCol w:w="109"/>
        <w:gridCol w:w="109"/>
        <w:gridCol w:w="109"/>
        <w:gridCol w:w="211"/>
        <w:gridCol w:w="721"/>
        <w:gridCol w:w="109"/>
        <w:gridCol w:w="109"/>
        <w:gridCol w:w="109"/>
        <w:gridCol w:w="109"/>
        <w:gridCol w:w="211"/>
        <w:gridCol w:w="616"/>
        <w:gridCol w:w="109"/>
        <w:gridCol w:w="109"/>
        <w:gridCol w:w="109"/>
        <w:gridCol w:w="109"/>
        <w:gridCol w:w="245"/>
        <w:gridCol w:w="559"/>
        <w:gridCol w:w="127"/>
        <w:gridCol w:w="109"/>
        <w:gridCol w:w="109"/>
        <w:gridCol w:w="109"/>
        <w:gridCol w:w="211"/>
        <w:gridCol w:w="72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w:t>
              <w:br/>
              <w:t>Value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Exchange-traded bond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carried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Exchange-traded bond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carried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Investments Under Measurement Alternative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investments below represent equity interests in private companies without readily determinable fair values. The Company has elected to apply the measurement alternative of cost minus impairment, if any, adjusted for any observable price changes in orderly transactions for these investments. The acquisition cost of Westwood Engineered Beta ("WEBs") is allocated using the relative fair value method between preferred stock and a call option. No impairments of these investments were recorded during the three months ended March 31, 2025 or March 31, 2024. Balances are shown below (in thousands):</w:t>
      </w:r>
    </w:p>
    <w:tbl>
      <w:tblPr>
        <w:tblW w:w="7314" w:type="dxa"/>
        <w:jc w:val="left"/>
        <w:tblInd w:w="0" w:type="dxa"/>
        <w:tblLayout w:type="fixed"/>
        <w:tblCellMar>
          <w:top w:w="28" w:type="dxa"/>
          <w:left w:w="28" w:type="dxa"/>
          <w:bottom w:w="28" w:type="dxa"/>
          <w:right w:w="28" w:type="dxa"/>
        </w:tblCellMar>
      </w:tblPr>
      <w:tblGrid>
        <w:gridCol w:w="1488"/>
        <w:gridCol w:w="1303"/>
        <w:gridCol w:w="1318"/>
        <w:gridCol w:w="266"/>
        <w:gridCol w:w="876"/>
        <w:gridCol w:w="147"/>
        <w:gridCol w:w="109"/>
        <w:gridCol w:w="109"/>
        <w:gridCol w:w="109"/>
        <w:gridCol w:w="313"/>
        <w:gridCol w:w="1031"/>
        <w:gridCol w:w="245"/>
      </w:tblGrid>
      <w:tr>
        <w:trPr/>
        <w:tc>
          <w:tcPr>
            <w:tcW w:w="148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Investment:</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InvestCloud</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Vista</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 - preferred stock</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 - call option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TXSE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Ridgeline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under measurement alternative</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10,747 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Method Investments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investments represent ownership interests in non-controlled partnerships and are measured based on our share of the net earnings or losses of the investee. Investment balances are included in “Equity method investments” on our Condensed Consolidated Balance Sheets and income and expenses are included in our Condensed Consolidated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Operations under "Other income." Balances are shown below (in thousands):</w:t>
      </w:r>
    </w:p>
    <w:tbl>
      <w:tblPr>
        <w:tblW w:w="8370" w:type="dxa"/>
        <w:jc w:val="left"/>
        <w:tblInd w:w="0" w:type="dxa"/>
        <w:tblLayout w:type="fixed"/>
        <w:tblCellMar>
          <w:top w:w="28" w:type="dxa"/>
          <w:left w:w="28" w:type="dxa"/>
          <w:bottom w:w="28" w:type="dxa"/>
          <w:right w:w="28" w:type="dxa"/>
        </w:tblCellMar>
      </w:tblPr>
      <w:tblGrid>
        <w:gridCol w:w="1221"/>
        <w:gridCol w:w="1073"/>
        <w:gridCol w:w="1080"/>
        <w:gridCol w:w="284"/>
        <w:gridCol w:w="829"/>
        <w:gridCol w:w="146"/>
        <w:gridCol w:w="255"/>
        <w:gridCol w:w="256"/>
        <w:gridCol w:w="533"/>
        <w:gridCol w:w="109"/>
        <w:gridCol w:w="109"/>
        <w:gridCol w:w="109"/>
        <w:gridCol w:w="284"/>
        <w:gridCol w:w="830"/>
        <w:gridCol w:w="145"/>
        <w:gridCol w:w="255"/>
        <w:gridCol w:w="256"/>
        <w:gridCol w:w="596"/>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Zarvona Energy Fund GP, L.P.</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Zarvona Energy Fund II-A, L.P.</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Salient MLP Total Return Fund, L.P.</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Salient MLP Total Return TE Fund, L.P.</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6. FAIR VALUE MEASUREMENTS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ASC 820, Fair Value Measurements, defines fair value, establishes a framework for measuring fair value and requires disclosures regarding certain fair value measurements. ASC 820 establishes a three-tier hierarchy for measuring fair value, as follows: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Level 1 – quoted market prices in active markets for identical assets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Level 2 – inputs other than quoted prices that are directly or indirectly observable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Level 3 – significant unobservable inputs where there is little or no market activity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investments in InvestCloud, Vista, WEBs, the TXSE Group Inc ("TXSE") and Ridgeline, discussed in Note 5 “Investments,” are excluded from the recurring fair value table shown below because we have elected to apply the measurement alternative for those investments.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values of our investments measured at fair value on a recurring basis within the fair value hierarchy as of the dates indicated (in thousands): </w:t>
      </w:r>
    </w:p>
    <w:tbl>
      <w:tblPr>
        <w:tblW w:w="10205" w:type="dxa"/>
        <w:jc w:val="left"/>
        <w:tblInd w:w="0" w:type="dxa"/>
        <w:tblLayout w:type="fixed"/>
        <w:tblCellMar>
          <w:top w:w="28" w:type="dxa"/>
          <w:left w:w="28" w:type="dxa"/>
          <w:bottom w:w="28" w:type="dxa"/>
          <w:right w:w="28" w:type="dxa"/>
        </w:tblCellMar>
      </w:tblPr>
      <w:tblGrid>
        <w:gridCol w:w="1133"/>
        <w:gridCol w:w="630"/>
        <w:gridCol w:w="633"/>
        <w:gridCol w:w="243"/>
        <w:gridCol w:w="833"/>
        <w:gridCol w:w="125"/>
        <w:gridCol w:w="125"/>
        <w:gridCol w:w="125"/>
        <w:gridCol w:w="125"/>
        <w:gridCol w:w="243"/>
        <w:gridCol w:w="538"/>
        <w:gridCol w:w="125"/>
        <w:gridCol w:w="125"/>
        <w:gridCol w:w="125"/>
        <w:gridCol w:w="125"/>
        <w:gridCol w:w="243"/>
        <w:gridCol w:w="711"/>
        <w:gridCol w:w="125"/>
        <w:gridCol w:w="125"/>
        <w:gridCol w:w="125"/>
        <w:gridCol w:w="125"/>
        <w:gridCol w:w="415"/>
        <w:gridCol w:w="1217"/>
        <w:gridCol w:w="218"/>
        <w:gridCol w:w="125"/>
        <w:gridCol w:w="125"/>
        <w:gridCol w:w="125"/>
        <w:gridCol w:w="243"/>
        <w:gridCol w:w="833"/>
        <w:gridCol w:w="197"/>
      </w:tblGrid>
      <w:tr>
        <w:trPr/>
        <w:tc>
          <w:tcPr>
            <w:tcW w:w="113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Investments Measured at NAV</w:t>
            </w:r>
            <w:r>
              <w:rPr>
                <w:color w:val="000000"/>
              </w:rPr>
              <w:t xml:space="preserve"> </w:t>
            </w:r>
            <w:r>
              <w:rPr>
                <w:rFonts w:ascii="Times New Roman;sans-serif" w:hAnsi="Times New Roman;sans-serif"/>
                <w:b w:val="false"/>
                <w:color w:val="000000"/>
                <w:sz w:val="12"/>
              </w:rPr>
              <w:t>(1)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trading securities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 funds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17,477 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19,696 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trading securities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investment fund</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25,748 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27,694 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Salient Acquisition contingent consideration</w:t>
            </w:r>
          </w:p>
        </w:tc>
        <w:tc>
          <w:tcPr>
            <w:tcW w:w="10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4,657 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4,657 </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measured at fair value</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Comprised of certain investments measured at fair value using NAV as a practical expedient. The fair value amounts presented in this table are intended to permit reconciliation of the fair value hierarchy to the amounts presented on our Condensed Consolidated Balance Sheets. </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Level 3 liabilities measured at fair value on a recurring basis for the periods presented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 (Unaudited)</w:t>
      </w:r>
    </w:p>
    <w:p>
      <w:pPr>
        <w:pStyle w:val="TextBody"/>
        <w:bidi w:val="0"/>
        <w:spacing w:before="0" w:after="0"/>
        <w:jc w:val="center"/>
        <w:rPr/>
      </w:pPr>
      <w:r>
        <w:rPr/>
      </w:r>
    </w:p>
    <w:tbl>
      <w:tblPr>
        <w:tblW w:w="8083" w:type="dxa"/>
        <w:jc w:val="left"/>
        <w:tblInd w:w="0" w:type="dxa"/>
        <w:tblLayout w:type="fixed"/>
        <w:tblCellMar>
          <w:top w:w="28" w:type="dxa"/>
          <w:left w:w="28" w:type="dxa"/>
          <w:bottom w:w="28" w:type="dxa"/>
          <w:right w:w="28" w:type="dxa"/>
        </w:tblCellMar>
      </w:tblPr>
      <w:tblGrid>
        <w:gridCol w:w="1074"/>
        <w:gridCol w:w="946"/>
        <w:gridCol w:w="950"/>
        <w:gridCol w:w="424"/>
        <w:gridCol w:w="1239"/>
        <w:gridCol w:w="219"/>
        <w:gridCol w:w="219"/>
        <w:gridCol w:w="219"/>
        <w:gridCol w:w="219"/>
        <w:gridCol w:w="424"/>
        <w:gridCol w:w="1450"/>
        <w:gridCol w:w="219"/>
        <w:gridCol w:w="109"/>
        <w:gridCol w:w="109"/>
        <w:gridCol w:w="109"/>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using Significant Unobservable Inputs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10,133 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w:t>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(gains) losses included in earnings</w:t>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Ending balance</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7,184 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final payment for the revenue retention earn-out was made in the quarter ended March 31, 2025.</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March 31, 2025 contingent consideration fair value of the growth earn-out was valued based upon updated revenue growth projections following changes in asset values and revised asset flow expectations. The fair value of contingent consideration related to the growth earn-out is measured using the Monte Carlo simulation model, which considered assumptions including revenue growth projections, revenue volatility, risk free rates and discount rates. The projected contingent payment is discounted to the current period using a discounted cash flow model. Increases or decreases in projected revenues, probabilities of payment, discount rates, projected payment dates and other inputs may result in significantly higher or lower fair value measurements.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range of the unobservable inputs utilized in the fair value measurement of the contingent consideration classified as level 3, the weighted averages represent the output of the Monte Carlo simulation models:</w:t>
      </w:r>
    </w:p>
    <w:p>
      <w:pPr>
        <w:pStyle w:val="TextBody"/>
        <w:bidi w:val="0"/>
        <w:spacing w:before="120" w:after="283"/>
        <w:jc w:val="left"/>
        <w:rPr/>
      </w:pPr>
      <w:r>
        <w:rPr/>
      </w:r>
    </w:p>
    <w:tbl>
      <w:tblPr>
        <w:tblW w:w="8158" w:type="dxa"/>
        <w:jc w:val="left"/>
        <w:tblInd w:w="0" w:type="dxa"/>
        <w:tblLayout w:type="fixed"/>
        <w:tblCellMar>
          <w:top w:w="28" w:type="dxa"/>
          <w:left w:w="28" w:type="dxa"/>
          <w:bottom w:w="28" w:type="dxa"/>
          <w:right w:w="28" w:type="dxa"/>
        </w:tblCellMar>
      </w:tblPr>
      <w:tblGrid>
        <w:gridCol w:w="748"/>
        <w:gridCol w:w="659"/>
        <w:gridCol w:w="662"/>
        <w:gridCol w:w="109"/>
        <w:gridCol w:w="109"/>
        <w:gridCol w:w="109"/>
        <w:gridCol w:w="554"/>
        <w:gridCol w:w="554"/>
        <w:gridCol w:w="556"/>
        <w:gridCol w:w="109"/>
        <w:gridCol w:w="109"/>
        <w:gridCol w:w="109"/>
        <w:gridCol w:w="174"/>
        <w:gridCol w:w="174"/>
        <w:gridCol w:w="176"/>
        <w:gridCol w:w="109"/>
        <w:gridCol w:w="109"/>
        <w:gridCol w:w="109"/>
        <w:gridCol w:w="209"/>
        <w:gridCol w:w="209"/>
        <w:gridCol w:w="211"/>
        <w:gridCol w:w="109"/>
        <w:gridCol w:w="109"/>
        <w:gridCol w:w="109"/>
        <w:gridCol w:w="574"/>
        <w:gridCol w:w="574"/>
        <w:gridCol w:w="816"/>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Rate</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Rate</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222222"/>
          <w:sz w:val="20"/>
        </w:rPr>
      </w:pPr>
      <w:r>
        <w:rPr>
          <w:rFonts w:ascii="Times New Roman;sans-serif" w:hAnsi="Times New Roman;sans-serif"/>
          <w:b/>
          <w:color w:val="222222"/>
          <w:sz w:val="20"/>
        </w:rPr>
        <w:t>7. INCOME TAXES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income tax rate differed from the 21% statutory rate for the three months ended March 31, 2025 due to permanent differences related to executive compensation. Our effective income tax rate differed from the 21% statutory rate for the three months ended March 31, 2024 due to permanent differences between book and tax restricted stock expense based on a decrease in our stock price between the restricted stock grant and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8. EARNINGS PER SHARE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common share is computed by dividing income attributable to Westwood Holdings Group, Inc.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approximately 20,000 anti-dilutive restricted shares outstanding for the three months ended March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(in thousands, except per share and share amounts):</w:t>
      </w:r>
    </w:p>
    <w:tbl>
      <w:tblPr>
        <w:tblW w:w="7792" w:type="dxa"/>
        <w:jc w:val="left"/>
        <w:tblInd w:w="0" w:type="dxa"/>
        <w:tblLayout w:type="fixed"/>
        <w:tblCellMar>
          <w:top w:w="28" w:type="dxa"/>
          <w:left w:w="28" w:type="dxa"/>
          <w:bottom w:w="28" w:type="dxa"/>
          <w:right w:w="28" w:type="dxa"/>
        </w:tblCellMar>
      </w:tblPr>
      <w:tblGrid>
        <w:gridCol w:w="1717"/>
        <w:gridCol w:w="1507"/>
        <w:gridCol w:w="1515"/>
        <w:gridCol w:w="285"/>
        <w:gridCol w:w="691"/>
        <w:gridCol w:w="124"/>
        <w:gridCol w:w="124"/>
        <w:gridCol w:w="124"/>
        <w:gridCol w:w="124"/>
        <w:gridCol w:w="249"/>
        <w:gridCol w:w="727"/>
        <w:gridCol w:w="124"/>
        <w:gridCol w:w="109"/>
        <w:gridCol w:w="109"/>
        <w:gridCol w:w="109"/>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Income attributable to Westwood Holdings Group, Inc.</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Weighted average shares outstanding - basic</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8,253,912 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8,099,028 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Dilutive potential shares from unvested restricted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527,831 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293,468 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Weighted average shares outstanding - diluted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8,781,743 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8,392,496 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Earnings per share:</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9. GOODWILL AND OTHER INTANGIBLE ASSETS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cost of acquired assets over the fair value of the underlying liabilities at the date of acquisition. Goodwill is not amortized but is reviewed for impairment annually, or between annual assessments if a triggering event occurs or circumstances change that would more likely than not result in the fair value of a reporting unit below its carrying amount. We completed our most recent annual goodwill impairment assessment during the third quarter of 2024 and determined that no goodwill impairment related to the Advisory or Trust segment was required. No goodwill impairments were recorded during the three months ended March 31, 2025 or March 31, 2024.</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balances were as follows (in thousands):</w:t>
      </w:r>
    </w:p>
    <w:tbl>
      <w:tblPr>
        <w:tblW w:w="6147" w:type="dxa"/>
        <w:jc w:val="left"/>
        <w:tblInd w:w="0" w:type="dxa"/>
        <w:tblLayout w:type="fixed"/>
        <w:tblCellMar>
          <w:top w:w="28" w:type="dxa"/>
          <w:left w:w="28" w:type="dxa"/>
          <w:bottom w:w="28" w:type="dxa"/>
          <w:right w:w="28" w:type="dxa"/>
        </w:tblCellMar>
      </w:tblPr>
      <w:tblGrid>
        <w:gridCol w:w="630"/>
        <w:gridCol w:w="553"/>
        <w:gridCol w:w="556"/>
        <w:gridCol w:w="256"/>
        <w:gridCol w:w="846"/>
        <w:gridCol w:w="142"/>
        <w:gridCol w:w="109"/>
        <w:gridCol w:w="109"/>
        <w:gridCol w:w="109"/>
        <w:gridCol w:w="312"/>
        <w:gridCol w:w="1029"/>
        <w:gridCol w:w="173"/>
        <w:gridCol w:w="109"/>
        <w:gridCol w:w="109"/>
        <w:gridCol w:w="109"/>
        <w:gridCol w:w="196"/>
        <w:gridCol w:w="64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Trust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Advisory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December 31, 2024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March 31, 2025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months ended March 31, 2025 or March 31, 2024.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which is included in “General and administrative” expense on our Condensed Consolidated Statements of Operations, was $1.0 million for the three months ended March 31, 2025 and March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222222"/>
          <w:sz w:val="20"/>
        </w:rPr>
      </w:pPr>
      <w:r>
        <w:rPr>
          <w:rFonts w:ascii="Times New Roman;sans-serif" w:hAnsi="Times New Roman;sans-serif"/>
          <w:b/>
          <w:color w:val="222222"/>
          <w:sz w:val="20"/>
        </w:rPr>
        <w:t>10. 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have been no material changes outside the ordinary course of business to our leases since December 31, 2024. For information regarding our leases, refer to Note 12 “Leases” in Part IV, Item 15. “Exhibits, Financial Statement Schedules” in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11. STOCKHOLDERS' EQUITY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are $5.5 million of shares that may yet be repurchased under our plan.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and 2024, the Company did not repurchase any shares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12. VARIABLE INTEREST ENTITIES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evaluated (i) our relationship as sponsor of the Common Trust Funds (“CTFs”) and managing member of the private equity funds Westwood Hospitality, Westwood Technology Opportunities Fund I, LP and Westwood Energy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jc w:val="left"/>
        <w:rPr/>
      </w:pPr>
      <w:r>
        <w:rPr>
          <w:rFonts w:ascii="Times New Roman;sans-serif" w:hAnsi="Times New Roman;sans-serif"/>
          <w:b w:val="false"/>
          <w:color w:val="000000"/>
          <w:sz w:val="20"/>
        </w:rPr>
        <w:t>Secondaries (collectively the “Private Funds”), (ii) our advisory relationships with the Westwood Funds® and (iii) our investments in InvestCloud, Vista, Zarvona Energy Fund GP and Zarvona Energy Fund II-A as discussed in Note 5</w:t>
      </w:r>
      <w:r>
        <w:rPr>
          <w:color w:val="222222"/>
        </w:rPr>
        <w:t xml:space="preserve"> “</w:t>
      </w:r>
      <w:r>
        <w:rPr>
          <w:rFonts w:ascii="Times New Roman;sans-serif" w:hAnsi="Times New Roman;sans-serif"/>
          <w:b w:val="false"/>
          <w:color w:val="222222"/>
          <w:sz w:val="20"/>
        </w:rPr>
        <w:t>Investments”</w:t>
      </w:r>
      <w:r>
        <w:rPr>
          <w:color w:val="000000"/>
        </w:rPr>
        <w:t xml:space="preserve"> </w:t>
      </w:r>
      <w:r>
        <w:rPr>
          <w:rFonts w:ascii="Times New Roman;sans-serif" w:hAnsi="Times New Roman;sans-serif"/>
          <w:b w:val="false"/>
          <w:color w:val="000000"/>
          <w:sz w:val="20"/>
        </w:rPr>
        <w:t>(“Private Equity”) to determine whether each of these entities is a variable interest entity (“VIE”) or voting ownership entity (“VOE”).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analyses, the CTFs, Private Funds, Zarvona Energy Fund II-A and WEBs (together the “Westwood VIEs”) are considered VIEs, and the Westwood Funds®, InvestCloud, Vista, Zarvona Energy Fund GP, TXSE and Ridgeline are considered VOEs (together the “Westwood VOEs”). We receive fees for managing assets in all of these entities commensurate with market rates. As of March 31, 2025 and December 31, 2024, we evaluated all of the Westwood VIEs and Westwood VOEs to determine whether or not we should consolidate the entities into our Condensed Consolidated Financial Statements. For the Westwood VIEs, we evaluated whether or not we qualify as the primary beneficiary based on whether we have the obligation to absorb significant losses, the right to receive residual returns and the right to direct the activities of the entity that most significantly impact the entity’s economic performance, and concluded that we do not qualify as a primary beneficiary for those entities. For the Westwood VOEs, we evaluated whether or not we own a controlling financial interest in the entities, and we concluded that we do not. Based on our analyses, we have not consolidated the Westwood VIEs or Westwood VOEs into our Condensed Consolidated Financial Statements for the periods ending March 31, 2025 and December 31, 2024.</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6 “Investments.”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fee revenue from the Westwood VIEs and Westwood VOEs as follows (in millions):</w:t>
      </w:r>
    </w:p>
    <w:tbl>
      <w:tblPr>
        <w:tblW w:w="4646" w:type="dxa"/>
        <w:jc w:val="left"/>
        <w:tblInd w:w="0" w:type="dxa"/>
        <w:tblLayout w:type="fixed"/>
        <w:tblCellMar>
          <w:top w:w="28" w:type="dxa"/>
          <w:left w:w="28" w:type="dxa"/>
          <w:bottom w:w="28" w:type="dxa"/>
          <w:right w:w="28" w:type="dxa"/>
        </w:tblCellMar>
      </w:tblPr>
      <w:tblGrid>
        <w:gridCol w:w="457"/>
        <w:gridCol w:w="400"/>
        <w:gridCol w:w="403"/>
        <w:gridCol w:w="375"/>
        <w:gridCol w:w="721"/>
        <w:gridCol w:w="193"/>
        <w:gridCol w:w="109"/>
        <w:gridCol w:w="109"/>
        <w:gridCol w:w="109"/>
        <w:gridCol w:w="375"/>
        <w:gridCol w:w="721"/>
        <w:gridCol w:w="193"/>
        <w:gridCol w:w="109"/>
        <w:gridCol w:w="109"/>
        <w:gridCol w:w="109"/>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 Revenues</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the AUM, the amount of our seed investments that are included in “Investments” and “Investments, at fair value” on the Condensed Consolidated Balance Sheets, and the financial risk of loss in each vehicle (in millions):</w:t>
      </w:r>
    </w:p>
    <w:tbl>
      <w:tblPr>
        <w:tblW w:w="6896" w:type="dxa"/>
        <w:jc w:val="left"/>
        <w:tblInd w:w="0" w:type="dxa"/>
        <w:tblLayout w:type="fixed"/>
        <w:tblCellMar>
          <w:top w:w="28" w:type="dxa"/>
          <w:left w:w="28" w:type="dxa"/>
          <w:bottom w:w="28" w:type="dxa"/>
          <w:right w:w="28" w:type="dxa"/>
        </w:tblCellMar>
      </w:tblPr>
      <w:tblGrid>
        <w:gridCol w:w="1000"/>
        <w:gridCol w:w="875"/>
        <w:gridCol w:w="885"/>
        <w:gridCol w:w="228"/>
        <w:gridCol w:w="754"/>
        <w:gridCol w:w="129"/>
        <w:gridCol w:w="109"/>
        <w:gridCol w:w="109"/>
        <w:gridCol w:w="109"/>
        <w:gridCol w:w="280"/>
        <w:gridCol w:w="538"/>
        <w:gridCol w:w="158"/>
        <w:gridCol w:w="109"/>
        <w:gridCol w:w="109"/>
        <w:gridCol w:w="109"/>
        <w:gridCol w:w="375"/>
        <w:gridCol w:w="722"/>
        <w:gridCol w:w="298"/>
      </w:tblGrid>
      <w:tr>
        <w:trPr/>
        <w:tc>
          <w:tcPr>
            <w:tcW w:w="100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br/>
              <w:t>Under</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br/>
              <w:t>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at Risk</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VIEs/VOEs: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Funds®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Trust Funds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Funds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assets: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Under Management</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222222"/>
          <w:sz w:val="20"/>
        </w:rPr>
      </w:pPr>
      <w:r>
        <w:rPr>
          <w:rFonts w:ascii="Times New Roman;sans-serif" w:hAnsi="Times New Roman;sans-serif"/>
          <w:b/>
          <w:color w:val="222222"/>
          <w:sz w:val="20"/>
        </w:rPr>
        <w:t>13. RELATED PARTY TRANSACTIONS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three months ended March 31, 2025 and March 31, 2024, the Company earned immaterial fees from the affiliated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WESTWOOD HOLDINGS GROUP, INC. AND SUBSIDIARIES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14. SUBSEQUENT EVENTS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 Declared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2025, the Board of Directors declared a quarterly cash dividend of $0.15 per share of common stock payable on July 1, 2025 to stockholders of record on June 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Forward-Looking Statements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Statements in this report and our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2024 and those risks set forth below: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composition and market value of our AUM and AUA;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our fee structure in light of competitive fee pressures;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associated with actions of activist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distributions to our common stockholders have included and may in the future include a return of capital;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inclusion of foreign company investments in our AUM;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regulations adversely affecting the financial services industry;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effective cyber security;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litigation risks;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develop and market new investment strategies successfully;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reputation and our relationships with current and potential customers;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attract and retain qualified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perform operational tasks;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select and oversee third-party vendors;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dependence on the operations and funds of our subsidiaries;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effective information systems;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prevent misuse of assets and information in the possession of our employees and third-party vendors, which could damage our reputation and result in costly litigation and liability for our clients and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stock is thinly traded and may be subject to volatility;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competition in the investment management industry;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avoid termination of client agreements and the related investment redemptions;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significant concentration of our revenues in a small number of customers;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made and may continue to make business combinations as a part of our business strategy, which may present certain risks and uncertainties;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relationships with investment consulting firms;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identify and execute on our strategic initiatives;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declare and pay dividends;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fund future capital requirements on favorable terms;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properly address conflicts of interest;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adequate insurance coverage;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an effective system of internal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Overview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investment assets and provide services for our clients through our subsidiaries, Westwood Management Corp., Westwood Advisors, L.L.C. and Salient Advisors, LP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Westwood Trust provides trust and custodial services and participation in common trust funds to institutions and high net worth individuals.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are generally derived from fees based on a percentage of AUM and AUA, and Westwood Management and Westwood Trust collectively had AUM of approximately $17.0 billion and AUA of approximately $1.0 billion at March 31, 2025. We have established a track record of delivering competitive, risk-adjusted returns for our clients.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most of our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an average investment experience of over twenty years.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other revenues primarily consist of investment income from seed money investments into new investment strategies.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Compensation and Benefits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 costs generally consist of salaries, sales commissions, incentive compensation, stock-based compensation expense and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relate to our marketing efforts, including travel and entertainment, direct marketing and advertising costs.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Westwood Mutual Funds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Expenses for Westwood mutual funds relate to our marketing, distribution and administration of the Westwood Funds</w:t>
      </w:r>
      <w:r>
        <w:rPr>
          <w:rFonts w:ascii="Times New Roman;sans-serif" w:hAnsi="Times New Roman;sans-serif"/>
          <w:b/>
          <w:i/>
          <w:color w:val="000000"/>
          <w:sz w:val="20"/>
        </w:rPr>
        <w:t>®</w:t>
      </w:r>
      <w:r>
        <w:rPr>
          <w:rFonts w:ascii="Times New Roman;sans-serif" w:hAnsi="Times New Roman;sans-serif"/>
          <w:b w:val="false"/>
          <w:color w:val="000000"/>
          <w:sz w:val="20"/>
        </w:rPr>
        <w: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Information Technology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 expenses include costs associated with proprietary investment research tools, maintenance and support, computing hardware, software licenses, telecommunications and other related costs.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expenses generally consist of costs associated with sub-advisory fees, audit, legal and other professional services.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loss from change in fair value of contingent consideration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contingent consideration consists of fair value adjustments related to contingent consideration from our 2022 acquisition of Salient, with gains representing reductions in value and losses representing increases in value.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Investment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 primarily includes interest and dividend income on fixed income securities and money market funds.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primarily consists of income from the sublease of a portion of our corporate offices.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Firm-wide Assets Under Management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Firm-wide assets under management of $18.0 billion at March 31, 2025 consisted of $17.0 billion of AUM and $1.0 billion of AUA.</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AUM increased $0.8 billion to $17.0 billion at March 31, 2025 compared with $16.2 billion at March 31, 2024. The average of beginning and ending AUM for the first quarter of 2025 was $16.8 billion compared to $15.8 billion for the first quarter of 2024.</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The following tab</w:t>
      </w:r>
      <w:r>
        <w:rPr>
          <w:rFonts w:ascii="Times New Roman;sans-serif" w:hAnsi="Times New Roman;sans-serif"/>
          <w:b w:val="false"/>
          <w:color w:val="000000"/>
          <w:sz w:val="20"/>
        </w:rPr>
        <w:t xml:space="preserve">le displays AUM as of March 31, 2025 and 2024 (in millions): </w:t>
      </w:r>
    </w:p>
    <w:tbl>
      <w:tblPr>
        <w:tblW w:w="5822" w:type="dxa"/>
        <w:jc w:val="left"/>
        <w:tblInd w:w="0" w:type="dxa"/>
        <w:tblLayout w:type="fixed"/>
        <w:tblCellMar>
          <w:top w:w="28" w:type="dxa"/>
          <w:left w:w="28" w:type="dxa"/>
          <w:bottom w:w="28" w:type="dxa"/>
          <w:right w:w="28" w:type="dxa"/>
        </w:tblCellMar>
      </w:tblPr>
      <w:tblGrid>
        <w:gridCol w:w="717"/>
        <w:gridCol w:w="631"/>
        <w:gridCol w:w="632"/>
        <w:gridCol w:w="109"/>
        <w:gridCol w:w="109"/>
        <w:gridCol w:w="109"/>
        <w:gridCol w:w="211"/>
        <w:gridCol w:w="721"/>
        <w:gridCol w:w="109"/>
        <w:gridCol w:w="109"/>
        <w:gridCol w:w="109"/>
        <w:gridCol w:w="109"/>
        <w:gridCol w:w="211"/>
        <w:gridCol w:w="721"/>
        <w:gridCol w:w="109"/>
        <w:gridCol w:w="109"/>
        <w:gridCol w:w="109"/>
        <w:gridCol w:w="109"/>
        <w:gridCol w:w="180"/>
        <w:gridCol w:w="181"/>
        <w:gridCol w:w="418"/>
      </w:tblGrid>
      <w:tr>
        <w:trPr/>
        <w:tc>
          <w:tcPr>
            <w:tcW w:w="71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Institutional</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Wealth Management</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ind w:left="0" w:right="0" w:firstLine="54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Management and unaffiliated sub-advisors. For certain assets in this category Westwood Trust provides limited custodial services for a minimal or no fee, viewing these assets as potentially converting to fee-generating managed assets in the future.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(3)Mutual Funds include the Westwood Funds®, a family of mutual funds for which Westwood Management serves as advisor. These funds are available to individual investors, institutional investors and wealth management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Roll-Forward of Assets Under Management </w:t>
      </w:r>
    </w:p>
    <w:p>
      <w:pPr>
        <w:pStyle w:val="TextBody"/>
        <w:bidi w:val="0"/>
        <w:spacing w:lineRule="auto" w:line="288" w:before="0" w:after="0"/>
        <w:jc w:val="left"/>
        <w:rPr>
          <w:color w:val="000000"/>
        </w:rPr>
      </w:pPr>
      <w:r>
        <w:rPr>
          <w:color w:val="000000"/>
        </w:rPr>
        <w:t> </w:t>
      </w:r>
    </w:p>
    <w:tbl>
      <w:tblPr>
        <w:tblW w:w="5609" w:type="dxa"/>
        <w:jc w:val="left"/>
        <w:tblInd w:w="0" w:type="dxa"/>
        <w:tblLayout w:type="fixed"/>
        <w:tblCellMar>
          <w:top w:w="28" w:type="dxa"/>
          <w:left w:w="28" w:type="dxa"/>
          <w:bottom w:w="28" w:type="dxa"/>
          <w:right w:w="28" w:type="dxa"/>
        </w:tblCellMar>
      </w:tblPr>
      <w:tblGrid>
        <w:gridCol w:w="922"/>
        <w:gridCol w:w="812"/>
        <w:gridCol w:w="816"/>
        <w:gridCol w:w="226"/>
        <w:gridCol w:w="748"/>
        <w:gridCol w:w="126"/>
        <w:gridCol w:w="126"/>
        <w:gridCol w:w="126"/>
        <w:gridCol w:w="126"/>
        <w:gridCol w:w="226"/>
        <w:gridCol w:w="748"/>
        <w:gridCol w:w="126"/>
        <w:gridCol w:w="109"/>
        <w:gridCol w:w="109"/>
        <w:gridCol w:w="109"/>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Institutional</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Wealth Management</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Mutual Funds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Total AUM</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 (depreciation)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2025 compared to the three months ended March 31, 2024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AUM for the three months ended March 31, 2025 was due to net inflows of $0.6 billion offset by market depreciation of $0.3 billion. Net inflows were primarily related to our SmallCap Value strategy.</w:t>
      </w:r>
    </w:p>
    <w:p>
      <w:pPr>
        <w:pStyle w:val="TextBody"/>
        <w:bidi w:val="0"/>
        <w:spacing w:lineRule="auto" w:line="288" w:before="12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AUM for the three months ended March 31, 2024 was due to market appreciation of $0.9 billion and net outflows of $0.2 billion. Net outflows were primarily related to our LargeCap Value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Roll-Forward of Assets Under Advisement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tbl>
      <w:tblPr>
        <w:tblW w:w="5290" w:type="dxa"/>
        <w:jc w:val="left"/>
        <w:tblInd w:w="0" w:type="dxa"/>
        <w:tblLayout w:type="fixed"/>
        <w:tblCellMar>
          <w:top w:w="28" w:type="dxa"/>
          <w:left w:w="28" w:type="dxa"/>
          <w:bottom w:w="28" w:type="dxa"/>
          <w:right w:w="28" w:type="dxa"/>
        </w:tblCellMar>
      </w:tblPr>
      <w:tblGrid>
        <w:gridCol w:w="807"/>
        <w:gridCol w:w="710"/>
        <w:gridCol w:w="718"/>
        <w:gridCol w:w="264"/>
        <w:gridCol w:w="567"/>
        <w:gridCol w:w="146"/>
        <w:gridCol w:w="146"/>
        <w:gridCol w:w="146"/>
        <w:gridCol w:w="146"/>
        <w:gridCol w:w="264"/>
        <w:gridCol w:w="749"/>
        <w:gridCol w:w="146"/>
        <w:gridCol w:w="109"/>
        <w:gridCol w:w="109"/>
        <w:gridCol w:w="109"/>
        <w:gridCol w:w="154"/>
      </w:tblGrid>
      <w:tr>
        <w:trPr/>
        <w:tc>
          <w:tcPr>
            <w:tcW w:w="8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 Under Advisement</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 assets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Inflows</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Outflows</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client flows</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appreciation</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 assets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Results of Operations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(dollars in thousands) and discussion of our results of operations are based upon data derived from the Condensed Consolidated Statements of Operations contained in our Condensed Consolidated Financial Statements and should be read in conjunction with those statements included elsewhere in this report.</w:t>
      </w:r>
    </w:p>
    <w:tbl>
      <w:tblPr>
        <w:tblW w:w="8852" w:type="dxa"/>
        <w:jc w:val="left"/>
        <w:tblInd w:w="0" w:type="dxa"/>
        <w:tblLayout w:type="fixed"/>
        <w:tblCellMar>
          <w:top w:w="28" w:type="dxa"/>
          <w:left w:w="28" w:type="dxa"/>
          <w:bottom w:w="28" w:type="dxa"/>
          <w:right w:w="28" w:type="dxa"/>
        </w:tblCellMar>
      </w:tblPr>
      <w:tblGrid>
        <w:gridCol w:w="1698"/>
        <w:gridCol w:w="1493"/>
        <w:gridCol w:w="1503"/>
        <w:gridCol w:w="196"/>
        <w:gridCol w:w="646"/>
        <w:gridCol w:w="109"/>
        <w:gridCol w:w="109"/>
        <w:gridCol w:w="109"/>
        <w:gridCol w:w="109"/>
        <w:gridCol w:w="196"/>
        <w:gridCol w:w="646"/>
        <w:gridCol w:w="109"/>
        <w:gridCol w:w="109"/>
        <w:gridCol w:w="109"/>
        <w:gridCol w:w="109"/>
        <w:gridCol w:w="248"/>
        <w:gridCol w:w="248"/>
        <w:gridCol w:w="407"/>
        <w:gridCol w:w="109"/>
        <w:gridCol w:w="109"/>
        <w:gridCol w:w="109"/>
        <w:gridCol w:w="109"/>
        <w:gridCol w:w="109"/>
        <w:gridCol w:w="154"/>
      </w:tblGrid>
      <w:tr>
        <w:trPr/>
        <w:tc>
          <w:tcPr>
            <w:tcW w:w="169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Advisory fees: asset-based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fees: asset-based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compensation and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Westwood mutual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Information technology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from change in fair value of contingent consideration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operating income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income (loss) attributable to noncontrolling interest</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4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attributable to Westwood Holdings Group, Inc.</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NM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2025 compared to three months ended March 31, 2024 </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Total revenues</w:t>
      </w:r>
      <w:r>
        <w:rPr>
          <w:rFonts w:ascii="Times New Roman;sans-serif" w:hAnsi="Times New Roman;sans-serif"/>
          <w:b w:val="false"/>
          <w:color w:val="000000"/>
          <w:sz w:val="20"/>
        </w:rPr>
        <w:t>. Total revenues for the three months ended March 31, 2025 were higher than revenues for the three months ended March 31, 2024 due to higher average AUM.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(Gain) loss from change in fair value of contingent consideration. </w:t>
      </w:r>
      <w:r>
        <w:rPr>
          <w:rFonts w:ascii="Times New Roman;sans-serif" w:hAnsi="Times New Roman;sans-serif"/>
          <w:b w:val="false"/>
          <w:color w:val="000000"/>
          <w:sz w:val="20"/>
        </w:rPr>
        <w:t>In 2024 we recorded a gain of $2.9 million upon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of contingent consideration due to positive changes in growth projections following asset appreciation and asset flows in the period.</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Income tax provision</w:t>
      </w:r>
      <w:r>
        <w:rPr>
          <w:rFonts w:ascii="Times New Roman;sans-serif" w:hAnsi="Times New Roman;sans-serif"/>
          <w:b w:val="false"/>
          <w:color w:val="000000"/>
          <w:sz w:val="20"/>
        </w:rPr>
        <w:t>. Our effective income tax rate differed from the 21% statutory rate for the three months ended March 31, 2025 due to permanent differences related to executive compensation. Our effective income tax rate differed from the 21% statutory rate for the three months ended March 31, 2024 due to permanent differences between book and tax restricted stock expense based on a decrease in our stock price between the restricted stock grant and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Supplemental Financial Information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supplemental information, we are providing non-GAAP performance measures that we refer to as Economic Earnings and Economic EPS. We provide these measures in addition to, not as a substitute for, income attributable to Westwood Holdings Group, Inc.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Economic Earnings as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pStyle w:val="TextBody"/>
        <w:bidi w:val="0"/>
        <w:spacing w:lineRule="auto" w:line="288" w:before="12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(in thousands, except share and per share amounts) provide a reconciliation of income attributable to Westwood Holdings Group, Inc. to Economic Earnings and Economic Earnings by segment. We have included the tax impact of adjustments for all periods presented.</w:t>
      </w:r>
    </w:p>
    <w:p>
      <w:pPr>
        <w:pStyle w:val="TextBody"/>
        <w:bidi w:val="0"/>
        <w:spacing w:before="120" w:after="6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tbl>
      <w:tblPr>
        <w:tblW w:w="9212" w:type="dxa"/>
        <w:jc w:val="left"/>
        <w:tblInd w:w="0" w:type="dxa"/>
        <w:tblLayout w:type="fixed"/>
        <w:tblCellMar>
          <w:top w:w="28" w:type="dxa"/>
          <w:left w:w="28" w:type="dxa"/>
          <w:bottom w:w="28" w:type="dxa"/>
          <w:right w:w="28" w:type="dxa"/>
        </w:tblCellMar>
      </w:tblPr>
      <w:tblGrid>
        <w:gridCol w:w="1717"/>
        <w:gridCol w:w="1507"/>
        <w:gridCol w:w="1515"/>
        <w:gridCol w:w="249"/>
        <w:gridCol w:w="727"/>
        <w:gridCol w:w="127"/>
        <w:gridCol w:w="127"/>
        <w:gridCol w:w="127"/>
        <w:gridCol w:w="127"/>
        <w:gridCol w:w="249"/>
        <w:gridCol w:w="727"/>
        <w:gridCol w:w="127"/>
        <w:gridCol w:w="109"/>
        <w:gridCol w:w="109"/>
        <w:gridCol w:w="109"/>
        <w:gridCol w:w="250"/>
        <w:gridCol w:w="218"/>
        <w:gridCol w:w="392"/>
        <w:gridCol w:w="109"/>
        <w:gridCol w:w="109"/>
        <w:gridCol w:w="109"/>
        <w:gridCol w:w="109"/>
        <w:gridCol w:w="109"/>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attributable to Westwood Holdings Group, Inc.</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goodwill amortization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impacts of adjustments to GAAP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Economic Earnings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goodwill amortization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impacts of adjustments to GAAP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Economic Earnings per share</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8,781,743 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8,392,496 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Economic Earnings by Segment:</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Liquidity and Capital Resources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have funded our operations and cash requirements with cash generated from operating activities. We may also use cash from operations to pay dividends to our stockholders or for deferred contingent consideration payments. We had no debt as of March 31, 2025 and December 31, 2024.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had cash and liquid investments of $26.9 million and $44.6 million as of March 31, 2025 and December 31, 2024, respectively.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cash flow used in operating activities was $4.9 million, which included net sales of investments of $8.0 million and reductions in compensation and benefits payable of $8.5 million and contingent consideration of $4.4 million following the final payment for the revenue retention earn-out. During the three months ended March 31, 2024, cash flow provided by operating activities was $8.1 million, which included net sales of investments of $12.4 million and a reduction in compensation and benefits payable of $6.6 million.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flow used in investing activities during the three months ended March 31, 2025 was related to the purchase of investments and internally developed software. Cash flow used in investing activities during the three months ended March 31, 2024 was related to the acquisition of property and equipment.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of $3.1 million for the three months ended March 31, 2025 reflected the payment of dividends, deferred contingent consideration payments and restricted stock returned for the payment of taxes. Cash flows used in financing activities of $2.7 million for the three months ended March 31, 2024 reflected the payment of dividends and restricted stock returned for the payment of taxes.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Westwood Trust is required to maintain cash and investments in an amount equal to the minimum restricted capital of $4.0 million, as required by the Texas Finance Code. Restricted capital is included in "Cash and cash equivalents"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at fair value" in the accompanying Condensed Consolidated Balance Sheets. At March 31, 2025, Westwood Trust had approximately $9.9 million in excess of its minimum capital requirement.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2024.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Critical and Significant Accounting Policies and Estimates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or significant accounting policies and estimates since December 31, 2024.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Accounting Developments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2 “Summary of Significant Accounting Policies” in our Condensed Consolidated Financial Statements included in Part I, Item 1. “Financial Statements” of this Quarterly Report on Form 10-Q for a description of recently issued accounting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significant changes in our Quantitative and Qualitative Disclosures about Market Risk from those previously reported in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2025, there were no changes in our internal controls over financial reporting (as defined in Rule 13a-15(f) under the Exchange Act)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PART II. OTHER INFORMATION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2024 and the risks set forth below.</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share repurchase program has no expiration date and may be discontinued at any time by the Board of Directors. During the three months ended March 31, 2025, the Company did not repurchase any shares of our common stock.</w:t>
      </w:r>
    </w:p>
    <w:p>
      <w:pPr>
        <w:pStyle w:val="TextBody"/>
        <w:bidi w:val="0"/>
        <w:spacing w:lineRule="auto" w:line="288" w:before="12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120" w:after="283"/>
        <w:ind w:left="0" w:right="0" w:hanging="189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March 31, 2025, none of our directors or officers (as defined in Rule 16a-1(f) of the Securities Exchange Act of 1934) adopted, terminated or modified a Rule 10b5-1 trading arrangement or non-Rule 10b5-1 trading arrangement (as such terms are defined in Item 408 of Regulation S-K).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84"/>
        <w:gridCol w:w="162"/>
        <w:gridCol w:w="166"/>
        <w:gridCol w:w="109"/>
        <w:gridCol w:w="109"/>
        <w:gridCol w:w="109"/>
        <w:gridCol w:w="2851"/>
        <w:gridCol w:w="2698"/>
        <w:gridCol w:w="3817"/>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Securities Purchase Agreement by and among Westwood Holdings Group, Inc., McCarthy Group Advisors, LLC, MGA Holdings, LLC, and The Members of MGA Holdings, LLC (incorporated by reference from the Form 10-K filed with the SEC on February 28, 2013)</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Reorganization Agreement and Agreement and Plan of Merger dated as of January 15, 2015 by and among Westwood Holdings Group, Inc., Westwood Trust, Woodway Financial Advisors, A Trust Company and the Shareholders of Woodway Financial Advisors, A Trust Company (incorporated by reference from the Form 8-K filed with the SEC on January 16, 2015)</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Purchase Agreement, dated May 25, 2022, by and among Westwood Holdings Group, Inc., Salient Capital Management, LLC, Salient Partners, L.P. and the other Seller parties identified on Annex I (incorporated by reference from the Form 8-K filed with the SEC on May 26, 2022)</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Certificate of Incorporation of Westwood Holdings Group, Inc. (incorporated by reference from the Form S-8 filed with the SEC on September 28, 2022)</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Certificate of Amendment to Certificate of Formation of Westwood Holdings Group, Inc. (incorporated by reference to the Form 8-K filed with the SEC on December 2, 2024)</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 of Westwood Holdings Group, Inc. (incorporated by reference from the Form 8-K filed with the SEC on November 2, 2021)</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Common Stock Certificate of Westwood Holdings Group, Inc. (incorporated by reference from Amendment No. 2 to Registration Statement on Form 10/A filed with the SEC on April 30, 2002)</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5exhibit311.htm">
              <w:r>
                <w:rPr>
                  <w:rStyle w:val="InternetLink"/>
                  <w:rFonts w:ascii="Times New Roman;sans-serif" w:hAnsi="Times New Roman;sans-serif"/>
                  <w:b w:val="false"/>
                  <w:color w:val="0000FF"/>
                  <w:sz w:val="20"/>
                  <w:u w:val="single"/>
                </w:rPr>
                <w:t>Certification of Chief Executive Officer Pursuant to Securities Exchange Act Rule 13a-14(a)</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5exhibit312.htm">
              <w:r>
                <w:rPr>
                  <w:rStyle w:val="InternetLink"/>
                  <w:rFonts w:ascii="Times New Roman;sans-serif" w:hAnsi="Times New Roman;sans-serif"/>
                  <w:b w:val="false"/>
                  <w:color w:val="0000FF"/>
                  <w:sz w:val="20"/>
                  <w:u w:val="single"/>
                </w:rPr>
                <w:t>Certification of Chief Financial Officer Pursuant to Securities Exchange Act Rule 13a-14(a)</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5exhibit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5exhibit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Westwood Holdings Group, Inc.'s Quarterly Report on Form 10-Q for the period ended March 31, 2025, formatted in Inline eXtensible Business Reporting Language (iXBRL): (i) Condensed Consolidated Balance Sheets as of March 31, 2025 and December 31, 2024; (ii) Condensed Consolidated Statements of Operations for the three months ended March 31, 2025 and 2024; (iii) Condensed Consolidated Statements of Stockholders' Equity; (iv) Condensed Consolidated Statements of Cash Flows for the three months ended March 31, 2025 and 2024; and (v) Notes to the Condensed Consolidated Financial Statements.</w:t>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iXBRL and contained in Exhibit 101)</w:t>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ind w:left="0" w:right="0" w:hanging="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40" w:after="283"/>
        <w:ind w:left="0" w:right="0" w:firstLine="540"/>
        <w:jc w:val="left"/>
        <w:rPr/>
      </w:pPr>
      <w:r>
        <w:rPr/>
      </w:r>
    </w:p>
    <w:p>
      <w:pPr>
        <w:pStyle w:val="TextBody"/>
        <w:bidi w:val="0"/>
        <w:spacing w:lineRule="auto" w:line="288" w:before="0" w:after="0"/>
        <w:jc w:val="left"/>
        <w:rPr>
          <w:color w:val="000000"/>
        </w:rPr>
      </w:pPr>
      <w:r>
        <w:rPr>
          <w:color w:val="000000"/>
        </w:rPr>
        <w:t> </w:t>
      </w:r>
    </w:p>
    <w:tbl>
      <w:tblPr>
        <w:tblW w:w="7258"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360"/>
        <w:gridCol w:w="360"/>
        <w:gridCol w:w="360"/>
        <w:gridCol w:w="360"/>
        <w:gridCol w:w="360"/>
        <w:gridCol w:w="360"/>
        <w:gridCol w:w="904"/>
        <w:gridCol w:w="904"/>
        <w:gridCol w:w="134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53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O. Casey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O. Casey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Murray Forbes III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Forbes III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60" w:after="283"/>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CERTIFICATION OF CHIEF EXECUTIVE OFFICER</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EXCHANGE ACT RULES 13a-14(a)</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Brian O. Casey, certify that:</w:t>
      </w:r>
    </w:p>
    <w:p>
      <w:pPr>
        <w:pStyle w:val="TextBody"/>
        <w:bidi w:val="0"/>
        <w:spacing w:before="120" w:after="283"/>
        <w:jc w:val="left"/>
        <w:rPr/>
      </w:pPr>
      <w:r>
        <w:rPr/>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report on Form 10-Q of Westwood Holdings Group, Inc.;</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tbl>
      <w:tblPr>
        <w:tblW w:w="1844" w:type="dxa"/>
        <w:jc w:val="left"/>
        <w:tblInd w:w="0" w:type="dxa"/>
        <w:tblLayout w:type="fixed"/>
        <w:tblCellMar>
          <w:top w:w="28" w:type="dxa"/>
          <w:left w:w="28" w:type="dxa"/>
          <w:bottom w:w="28" w:type="dxa"/>
          <w:right w:w="28" w:type="dxa"/>
        </w:tblCellMar>
      </w:tblPr>
      <w:tblGrid>
        <w:gridCol w:w="590"/>
        <w:gridCol w:w="517"/>
        <w:gridCol w:w="737"/>
      </w:tblGrid>
      <w:tr>
        <w:trPr/>
        <w:tc>
          <w:tcPr>
            <w:tcW w:w="5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Dated: April 30, 2025</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Brian O. Casey</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Brian O. Casey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bl>
    <w:p>
      <w:pPr>
        <w:pStyle w:val="TextBody"/>
        <w:bidi w:val="0"/>
        <w:spacing w:lineRule="auto" w:line="288" w:before="60" w:after="283"/>
        <w:jc w:val="righ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CERTIFICATION OF CHIEF FINANCIAL OFFICER</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EXCHANGE ACT RULES 13a-14(a)</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Murray Forbes III, certify that:</w:t>
      </w:r>
    </w:p>
    <w:p>
      <w:pPr>
        <w:pStyle w:val="TextBody"/>
        <w:bidi w:val="0"/>
        <w:spacing w:before="120" w:after="283"/>
        <w:jc w:val="left"/>
        <w:rPr/>
      </w:pPr>
      <w:r>
        <w:rPr/>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report on Form 10-Q of Westwood Holdings Group, Inc.;</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tbl>
      <w:tblPr>
        <w:tblW w:w="2819" w:type="dxa"/>
        <w:jc w:val="left"/>
        <w:tblInd w:w="0" w:type="dxa"/>
        <w:tblLayout w:type="fixed"/>
        <w:tblCellMar>
          <w:top w:w="28" w:type="dxa"/>
          <w:left w:w="28" w:type="dxa"/>
          <w:bottom w:w="28" w:type="dxa"/>
          <w:right w:w="28" w:type="dxa"/>
        </w:tblCellMar>
      </w:tblPr>
      <w:tblGrid>
        <w:gridCol w:w="902"/>
        <w:gridCol w:w="791"/>
        <w:gridCol w:w="1126"/>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Dated: April 30, 2025</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Murray Forbes III</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Murray Forbes III</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Treasurer</w:t>
            </w:r>
          </w:p>
        </w:tc>
      </w:tr>
    </w:tbl>
    <w:p>
      <w:pPr>
        <w:pStyle w:val="TextBody"/>
        <w:bidi w:val="0"/>
        <w:spacing w:lineRule="auto" w:line="288" w:before="6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Westwood Holdings Group, Inc. (the “Company”) on Form 10-Q for the period ended March 31, 2025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pStyle w:val="TextBody"/>
        <w:bidi w:val="0"/>
        <w:spacing w:lineRule="auto" w:line="288" w:before="12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(15 U.S.C.78m or 78o(d)); and</w:t>
      </w:r>
    </w:p>
    <w:p>
      <w:pPr>
        <w:pStyle w:val="TextBody"/>
        <w:bidi w:val="0"/>
        <w:spacing w:lineRule="auto" w:line="288" w:before="12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tbl>
      <w:tblPr>
        <w:tblW w:w="1844" w:type="dxa"/>
        <w:jc w:val="left"/>
        <w:tblInd w:w="0" w:type="dxa"/>
        <w:tblLayout w:type="fixed"/>
        <w:tblCellMar>
          <w:top w:w="28" w:type="dxa"/>
          <w:left w:w="28" w:type="dxa"/>
          <w:bottom w:w="28" w:type="dxa"/>
          <w:right w:w="28" w:type="dxa"/>
        </w:tblCellMar>
      </w:tblPr>
      <w:tblGrid>
        <w:gridCol w:w="590"/>
        <w:gridCol w:w="517"/>
        <w:gridCol w:w="737"/>
      </w:tblGrid>
      <w:tr>
        <w:trPr/>
        <w:tc>
          <w:tcPr>
            <w:tcW w:w="5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Dated: April 30, 2025</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Brian O. Casey</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Brian O. Casey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bl>
    <w:p>
      <w:pPr>
        <w:pStyle w:val="TextBody"/>
        <w:bidi w:val="0"/>
        <w:spacing w:lineRule="auto" w:line="288" w:before="24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Westwood Holdings Group, Inc. (the “Company”) on Form 10-Q for the period ended March 31, 2025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pStyle w:val="TextBody"/>
        <w:bidi w:val="0"/>
        <w:spacing w:lineRule="auto" w:line="288" w:before="12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(15 U.S.C. 78m or 78o(d)); and</w:t>
      </w:r>
    </w:p>
    <w:p>
      <w:pPr>
        <w:pStyle w:val="TextBody"/>
        <w:bidi w:val="0"/>
        <w:spacing w:lineRule="auto" w:line="288" w:before="12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tbl>
      <w:tblPr>
        <w:tblW w:w="2819" w:type="dxa"/>
        <w:jc w:val="left"/>
        <w:tblInd w:w="0" w:type="dxa"/>
        <w:tblLayout w:type="fixed"/>
        <w:tblCellMar>
          <w:top w:w="28" w:type="dxa"/>
          <w:left w:w="28" w:type="dxa"/>
          <w:bottom w:w="28" w:type="dxa"/>
          <w:right w:w="28" w:type="dxa"/>
        </w:tblCellMar>
      </w:tblPr>
      <w:tblGrid>
        <w:gridCol w:w="902"/>
        <w:gridCol w:w="791"/>
        <w:gridCol w:w="1126"/>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Dated: April 30, 2025</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Murray Forbes III</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Murray Forbes III</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Treasurer</w:t>
            </w:r>
          </w:p>
        </w:tc>
      </w:tr>
    </w:tbl>
    <w:p>
      <w:pPr>
        <w:pStyle w:val="TextBody"/>
        <w:bidi w:val="0"/>
        <w:spacing w:lineRule="auto" w:line="288" w:before="24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5002/000119312513084081/d444159dex21.htm" TargetMode="External"/><Relationship Id="rId3" Type="http://schemas.openxmlformats.org/officeDocument/2006/relationships/hyperlink" Target="https://www.sec.gov/Archives/edgar/data/1165002/000119312515012458/d853486dex21.htm" TargetMode="External"/><Relationship Id="rId4" Type="http://schemas.openxmlformats.org/officeDocument/2006/relationships/hyperlink" Target="https://www.sec.gov/Archives/edgar/data/1165002/000116500222000079/0001165002-22-000079-index.htm" TargetMode="External"/><Relationship Id="rId5" Type="http://schemas.openxmlformats.org/officeDocument/2006/relationships/hyperlink" Target="https://www.sec.gov/Archives/edgar/data/1165002/000116500222000098/0001165002-22-000098-index.htm" TargetMode="External"/><Relationship Id="rId6" Type="http://schemas.openxmlformats.org/officeDocument/2006/relationships/hyperlink" Target="https://www.sec.gov/ix?doc=/Archives/edgar/data/0001165002/000116500224000087/whg-20241202.htm" TargetMode="External"/><Relationship Id="rId7" Type="http://schemas.openxmlformats.org/officeDocument/2006/relationships/hyperlink" Target="https://www.sec.gov/ix?doc=/Archives/edgar/data/0001165002/000116500221000089/whg-20211027.htm" TargetMode="External"/><Relationship Id="rId8" Type="http://schemas.openxmlformats.org/officeDocument/2006/relationships/hyperlink" Target="https://www.sec.gov/Archives/edgar/data/1165002/000093066102001393/d1012ba.txt"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11815</Words>
  <Characters>67089</Characters>
  <CharactersWithSpaces>77911</CharactersWithSpaces>
  <Paragraphs>1992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