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October 30,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October 30, 2024, Westwood Holdings Group, Inc. (“Westwood”) announced its financial results for the quarter ended September 30, 2024,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January 3, 2025 to stockholders of record on December 2,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val="false"/>
          <w:color w:val="000000"/>
          <w:sz w:val="22"/>
        </w:rPr>
        <w:t>99.1    </w:t>
      </w:r>
      <w:hyperlink w:anchor="a3q24earningsrelease.htm">
        <w:r>
          <w:rPr>
            <w:rStyle w:val="InternetLink"/>
          </w:rPr>
          <w:t xml:space="preserve">Press Release Dated </w:t>
        </w:r>
      </w:hyperlink>
      <w:hyperlink w:anchor="a3q24earningsrelease.htm">
        <w:r>
          <w:rPr>
            <w:rStyle w:val="InternetLink"/>
          </w:rPr>
          <w:t>October 30</w:t>
        </w:r>
      </w:hyperlink>
      <w:hyperlink w:anchor="a3q24earningsrelease.htm">
        <w:r>
          <w:rPr>
            <w:rStyle w:val="InternetLink"/>
          </w:rPr>
          <w:t>, 2024</w:t>
        </w:r>
      </w:hyperlink>
    </w:p>
    <w:p>
      <w:pPr>
        <w:pStyle w:val="TextBody"/>
        <w:bidi w:val="0"/>
        <w:spacing w:lineRule="auto" w:line="288"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October 30,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Westwood Holdings Group, Inc. Reports Third Quarter 2024 Results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Firmwide Assets Under Management of $17.7 Billion (Highest Level in 6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 Innovation with WEBs Partnership to Expand ETF Platform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20"/>
        <w:jc w:val="left"/>
        <w:rPr>
          <w:rFonts w:ascii="Times New Roman;sans-serif" w:hAnsi="Times New Roman;sans-serif"/>
          <w:b w:val="false"/>
          <w:color w:val="000000"/>
          <w:sz w:val="24"/>
        </w:rPr>
      </w:pPr>
      <w:r>
        <w:rPr>
          <w:rFonts w:ascii="Times New Roman;sans-serif" w:hAnsi="Times New Roman;sans-serif"/>
          <w:b w:val="false"/>
          <w:color w:val="000000"/>
          <w:sz w:val="24"/>
        </w:rPr>
        <w:t>Dallas, TX, October 30, 2024 – Westwood Holdings Group, Inc. (NYSE: WHG) today reported third quarter 2024 earnings. Significant items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Investment strategies beating their primary benchmarks included Platinum, High Alpha, Dividend Select, Income Opportunity, Multi-Asset Income, Alternative Income, Credit Opportunities, Real Estate Income, Tactical Growth SMA, MLP SMA, MLP High Conviction and MLP &amp; Energy Infrastructure.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Dividend Select and Income Opportunity posted top third rankings, and Multi-Asset Income, Credit Opportunities and MLP SMA all posted top quartile rankings in their peer universes.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Quarterly revenues totaled $23.7 million up from the second quarter's $22.7 million and $21.9 million a year ago. Comprehensive income of $0.1 million compared with the second quarter's loss of $2.2 million and income of $3.4 million in 2023's third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Formed a partnership with Exchange-Traded Fund ("ETF") pioneer Ben Fulton to develop and market new ETF strategies.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Our comprehensive income included an after-tax charge of $1.4 million due to an increase in the fair value of contingent consideration from our 2022 Salient acquisition due to an increased earnout valuation based on revised revenue expectations.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Non-GAAP Economic Earnings of $1.1 million compared with the second quarter's Economic Loss of $0.5 million and Economic Earnings of $6.5 million in the third quarter of 2023.</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Westwood held $48.3 million in cash and short-term investments as of September 30, 2024, up $4.2 million from the second quarter. Stockholders' equity totaled $118.4 million and we have no debt.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 declared a cash dividend of $0.15 per common share, payable on January 3, 2025 to stockholders of record on December 2, 2024.</w:t>
      </w:r>
    </w:p>
    <w:p>
      <w:pPr>
        <w:pStyle w:val="TextBody"/>
        <w:bidi w:val="0"/>
        <w:spacing w:lineRule="auto" w:line="288" w:before="120" w:after="283"/>
        <w:jc w:val="left"/>
        <w:rPr/>
      </w:pPr>
      <w:r>
        <w:rPr>
          <w:rFonts w:ascii="Times New Roman;sans-serif" w:hAnsi="Times New Roman;sans-serif"/>
          <w:b w:val="false"/>
          <w:color w:val="000000"/>
          <w:sz w:val="24"/>
        </w:rPr>
        <w:t>Brian Casey, Westwood’s CEO, commented, "</w:t>
      </w:r>
      <w:r>
        <w:rPr>
          <w:rFonts w:ascii="Times New Roman;sans-serif" w:hAnsi="Times New Roman;sans-serif"/>
          <w:b w:val="false"/>
          <w:color w:val="000000"/>
          <w:sz w:val="24"/>
          <w:shd w:fill="FFFFFF" w:val="clear"/>
        </w:rPr>
        <w:t xml:space="preserve">We continue to make good progress in our core businesses, delivering higher revenues and earnings as institutional sales grossed over $1.0 billion year to date, assets under management ("AUM") reached $17.7 billion, their highest level in over six years backed by a robust $2 billion pipeline, and most of our strategies performed very well against benchmarks and peers. Continuing our investment in product innovation, we have completed Phase 1 of the Managed Investment Solutions ("MIS") technology build-out and we are in detailed discussions with a prospect for an MIS-managed investment strategy. We recently entered into a partnership with Ben Fulton, a recognized pioneer of the ETF industry who, along with his team, has launched over 200 ETFs and more than 1,000 other investment products accounting for over $150 billion in AUM. Ben advised us earlier this year as we launched our first ETFs, one of which, MDST, has already passed critical AUM and volume thresholds for inclusion on certain intermediary platforms. Ben brought his innovative product ideas to us which led to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pPr>
      <w:r>
        <w:rPr>
          <w:rFonts w:ascii="Times New Roman;sans-serif" w:hAnsi="Times New Roman;sans-serif"/>
          <w:b w:val="false"/>
          <w:color w:val="000000"/>
          <w:sz w:val="24"/>
          <w:shd w:fill="FFFFFF" w:val="clear"/>
        </w:rPr>
        <w:t xml:space="preserve">the creation of Westwood Engineered Beta ("WEBs"). Chris Doran, who joined us in </w:t>
      </w:r>
      <w:r>
        <w:rPr>
          <w:rFonts w:ascii="Times New Roman;sans-serif" w:hAnsi="Times New Roman;sans-serif"/>
          <w:b w:val="false"/>
          <w:color w:val="000000"/>
          <w:sz w:val="24"/>
        </w:rPr>
        <w:t xml:space="preserve">July </w:t>
      </w:r>
      <w:r>
        <w:rPr>
          <w:rFonts w:ascii="Times New Roman;sans-serif" w:hAnsi="Times New Roman;sans-serif"/>
          <w:b w:val="false"/>
          <w:color w:val="000000"/>
          <w:sz w:val="24"/>
          <w:shd w:fill="FFFFFF" w:val="clear"/>
        </w:rPr>
        <w:t xml:space="preserve">to lead our ETF distribution efforts, partnered with Ben for over ten </w:t>
      </w:r>
      <w:r>
        <w:rPr>
          <w:rFonts w:ascii="Times New Roman;sans-serif" w:hAnsi="Times New Roman;sans-serif"/>
          <w:b w:val="false"/>
          <w:color w:val="000000"/>
          <w:sz w:val="24"/>
        </w:rPr>
        <w:t>years and we believe the combination of their extensive experience in ETF product development and sales can drive meaningful growth in this new venture.</w:t>
      </w:r>
      <w:r>
        <w:rPr>
          <w:color w:val="000000"/>
          <w:shd w:fill="FFFFFF" w:val="clear"/>
        </w:rPr>
        <w:t xml:space="preserve"> </w:t>
      </w:r>
      <w:r>
        <w:rPr>
          <w:rFonts w:ascii="Times New Roman;sans-serif" w:hAnsi="Times New Roman;sans-serif"/>
          <w:b w:val="false"/>
          <w:color w:val="000000"/>
          <w:sz w:val="24"/>
          <w:shd w:fill="FFFFFF" w:val="clear"/>
        </w:rPr>
        <w:t>To recap, our current business is performing nicely and our new initiatives offer the promise of profitable growth.</w:t>
      </w:r>
      <w:r>
        <w:rPr>
          <w:color w:val="000000"/>
        </w:rPr>
        <w:t xml:space="preserve"> </w:t>
      </w:r>
      <w:r>
        <w:rPr>
          <w:rFonts w:ascii="Times New Roman;sans-serif" w:hAnsi="Times New Roman;sans-serif"/>
          <w:b w:val="false"/>
          <w:color w:val="000000"/>
          <w:sz w:val="24"/>
          <w:shd w:fill="FFFFFF" w:val="clear"/>
        </w:rPr>
        <w:t>Confident in Westwood’s current positioning and future potential, we view our stock as undervalued and our accelerated share repurchase program underscores our belief in Westwood</w:t>
      </w:r>
      <w:r>
        <w:rPr>
          <w:rFonts w:ascii="Times New Roman;sans-serif" w:hAnsi="Times New Roman;sans-serif"/>
          <w:b w:val="false"/>
          <w:color w:val="000000"/>
          <w:sz w:val="24"/>
        </w:rPr>
        <w:t>."</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increased from the second quarter and last year's third quarter principally due to higher average AUM.</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$17.7 billion, consisting of AUM of $16.8 billion and assets under advisement ("AUA") of $1.0 billion.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Third quarter comprehensive income of $0.1 million compared to the second quarter's loss of $2.2 million on higher revenues and changes in the fair value of contingent consideration, offset by higher income taxes. Diluted earnings (loss) per share ("EPS") of $0.01 compared to $(0.27) for the second quarter. Non-GAAP Economic Earnings of $1.1 million, or $0.13 per share, compared with an Economic Loss of $0.5 million, or $0.06 per share, in the second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Third quarter comprehensive income of $0.1 million compared to last year's third quarter of $3.4 million due to higher revenues and changes in the fair value of contingent consideration, offset by higher employee compensation and benefits expense and the receipt of life insurance proceeds in 2023. Diluted EPS of $0.01 compared with $0.41 per share for 2023's third quarter. Non-GAAP Economic Earnings were $1.1 million, or $0.13 per share, compared with Economic Earnings of $6.5 million, or $0.80 per share, in the third quarter of 2023.</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(Loss)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third quarter 2024 results and other business matters at 4:30 p.m. Eastern time today. To join the conference call, please register here:</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https://registrations.events/direct/NTM7419517.</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view the webcast, please register here:</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https://edge.media-server.com/mmc/p/vjn47uq6</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ABOUT WESTWOOD HOLDINGS GROUP</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 is a focused investment management boutique and wealth management firm.</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Founded in 1983, Westwood offers a broad array of investment solutions to institutional investors, private wealth clients and financial intermediaries. The firm specializes in several distinct investment capabilities: U.S. Value Equity, Multi-Asset, Energy &amp; Real Assets, Income Alternatives, Tactical Absolute Return and Managed Investment Solutions, which are available through separate accounts, the Westwood Funds® family of mutual funds, exchange-traded funds ("ETFs") and other pooled vehicles. Westwood benefits from significant, broad-based employee ownership and trades on the New York Stock Exchange under the symbol "WHG." Based in Dallas, Westwood also maintains offices in Chicago, Houston and San Francisco.</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2023 and its quarterly report on Form 10-Q for the quarters ended March 31, 2024, June 30, 2024 and September 30, 2024.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919"/>
        <w:gridCol w:w="1676"/>
        <w:gridCol w:w="1684"/>
        <w:gridCol w:w="317"/>
        <w:gridCol w:w="1049"/>
        <w:gridCol w:w="177"/>
        <w:gridCol w:w="109"/>
        <w:gridCol w:w="109"/>
        <w:gridCol w:w="109"/>
        <w:gridCol w:w="234"/>
        <w:gridCol w:w="772"/>
        <w:gridCol w:w="129"/>
        <w:gridCol w:w="109"/>
        <w:gridCol w:w="109"/>
        <w:gridCol w:w="109"/>
        <w:gridCol w:w="312"/>
        <w:gridCol w:w="1031"/>
        <w:gridCol w:w="251"/>
      </w:tblGrid>
      <w:tr>
        <w:trPr/>
        <w:tc>
          <w:tcPr>
            <w:tcW w:w="191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4,375 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3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Westwood Holdings Group, Inc.</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Westwood Holdings Group, Inc. share:</w:t>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8,123,714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8,218,596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8,002,537</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8,488,372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8,218,596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8,116,747</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 (Loss)</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8949" w:type="dxa"/>
        <w:jc w:val="left"/>
        <w:tblInd w:w="0" w:type="dxa"/>
        <w:tblLayout w:type="fixed"/>
        <w:tblCellMar>
          <w:top w:w="28" w:type="dxa"/>
          <w:left w:w="28" w:type="dxa"/>
          <w:bottom w:w="28" w:type="dxa"/>
          <w:right w:w="28" w:type="dxa"/>
        </w:tblCellMar>
      </w:tblPr>
      <w:tblGrid>
        <w:gridCol w:w="1940"/>
        <w:gridCol w:w="1706"/>
        <w:gridCol w:w="1723"/>
        <w:gridCol w:w="330"/>
        <w:gridCol w:w="1090"/>
        <w:gridCol w:w="184"/>
        <w:gridCol w:w="109"/>
        <w:gridCol w:w="109"/>
        <w:gridCol w:w="109"/>
        <w:gridCol w:w="324"/>
        <w:gridCol w:w="1070"/>
        <w:gridCol w:w="255"/>
      </w:tblGrid>
      <w:tr>
        <w:trPr/>
        <w:tc>
          <w:tcPr>
            <w:tcW w:w="194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50,734 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69,139 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66,552 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40,551 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70,870 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63,390 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taxes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9,692 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7,988 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w:t>
            </w:r>
          </w:p>
        </w:tc>
        <w:tc>
          <w:tcPr>
            <w:tcW w:w="3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7,988 </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attributable to Westwood Holdings Group, Inc.</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per share:</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7,949,773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8,072,739</w:t>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37"/>
        <w:gridCol w:w="2117"/>
        <w:gridCol w:w="2127"/>
        <w:gridCol w:w="251"/>
        <w:gridCol w:w="945"/>
        <w:gridCol w:w="139"/>
        <w:gridCol w:w="109"/>
        <w:gridCol w:w="109"/>
        <w:gridCol w:w="109"/>
        <w:gridCol w:w="245"/>
        <w:gridCol w:w="923"/>
        <w:gridCol w:w="136"/>
        <w:gridCol w:w="158"/>
      </w:tblGrid>
      <w:tr>
        <w:trPr/>
        <w:tc>
          <w:tcPr>
            <w:tcW w:w="283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investments at fair value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$8,326 and $10,078</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82,879 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12,174,073 and 11,856,737, respectively and outstanding 9,271,568 and 9,140,760, respectively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2,902,505 and 2,715,977, respectively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118,385 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151,501 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155,167 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309" w:type="dxa"/>
        <w:jc w:val="center"/>
        <w:tblInd w:w="0" w:type="dxa"/>
        <w:tblLayout w:type="fixed"/>
        <w:tblCellMar>
          <w:top w:w="28" w:type="dxa"/>
          <w:left w:w="28" w:type="dxa"/>
          <w:bottom w:w="28" w:type="dxa"/>
          <w:right w:w="28" w:type="dxa"/>
        </w:tblCellMar>
      </w:tblPr>
      <w:tblGrid>
        <w:gridCol w:w="2339"/>
        <w:gridCol w:w="2057"/>
        <w:gridCol w:w="2068"/>
        <w:gridCol w:w="245"/>
        <w:gridCol w:w="809"/>
        <w:gridCol w:w="136"/>
        <w:gridCol w:w="136"/>
        <w:gridCol w:w="136"/>
        <w:gridCol w:w="136"/>
        <w:gridCol w:w="245"/>
        <w:gridCol w:w="809"/>
        <w:gridCol w:w="193"/>
      </w:tblGrid>
      <w:tr>
        <w:trPr/>
        <w:tc>
          <w:tcPr>
            <w:tcW w:w="233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(used in) operating activities:</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asset disposition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remeasurement of lease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insurance settlement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(purchases) sales of trading securities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settlement proceeds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 in acquisition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(6,681)</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WESTWOOD HOLDINGS GROUP, INC. AND SUBSIDIARIES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Reconciliation of Comprehensive Income (Loss) Attributable to Westwood Holdings Group, Inc. to Economic Earnings (Loss)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(in thousands, except per share and share amounts)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supplemental information, we are providing non-GAAP performance measures that we refer to as Economic Earnings (Loss)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 define Economic Earnings (Loss)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EPS represents Economic Earnings (Loss) divided by diluted weighted average shares outstanding.</w:t>
      </w:r>
    </w:p>
    <w:p>
      <w:pPr>
        <w:pStyle w:val="TextBody"/>
        <w:bidi w:val="0"/>
        <w:spacing w:before="12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4"/>
        <w:gridCol w:w="1629"/>
        <w:gridCol w:w="1633"/>
        <w:gridCol w:w="331"/>
        <w:gridCol w:w="941"/>
        <w:gridCol w:w="186"/>
        <w:gridCol w:w="109"/>
        <w:gridCol w:w="109"/>
        <w:gridCol w:w="109"/>
        <w:gridCol w:w="305"/>
        <w:gridCol w:w="982"/>
        <w:gridCol w:w="170"/>
        <w:gridCol w:w="109"/>
        <w:gridCol w:w="109"/>
        <w:gridCol w:w="109"/>
        <w:gridCol w:w="298"/>
        <w:gridCol w:w="982"/>
        <w:gridCol w:w="240"/>
      </w:tblGrid>
      <w:tr>
        <w:trPr/>
        <w:tc>
          <w:tcPr>
            <w:tcW w:w="185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(loss) attributable to Westwood Holdings Group, Inc.</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 (loss)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 (Loss)</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(loss) per share</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(0.27)</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0.41 </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 (loss)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8,488,372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8,218,596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8,116,747</w:t>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w:t>
            </w:r>
          </w:p>
        </w:tc>
      </w:tr>
      <w:tr>
        <w:trPr/>
        <w:tc>
          <w:tcPr>
            <w:tcW w:w="5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 2023</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attributable to Westwood Holdings Group, Inc.</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6,944 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12,178 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per share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0.86 </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0.63</w:t>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0.38</w:t>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w:t>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impact of adjustments to GAAP comprehensive income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8,448,629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8,072,739</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3605</Words>
  <Characters>20992</Characters>
  <CharactersWithSpaces>24235</CharactersWithSpaces>
  <Paragraphs>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