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July 31,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WESTWOOD HOLDINGS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 756-6900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ans-serif" w:hAnsi="Times New Roman;sans-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July 31, 2024, Westwood Holdings Group, Inc. (“Westwood”) announced its financial results for the quarter ended June 30, 2024,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7.01:    REGULATION FD DISCLOSURE</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Westwood announced today that its Board of Directors has approved the payment of a quarterly cash dividend of $0.15 per common share, payable on October 1, 2024 to stockholders of record on September 2,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ans-serif" w:hAnsi="Times New Roman;sans-serif"/>
          <w:b w:val="false"/>
          <w:color w:val="000000"/>
          <w:sz w:val="22"/>
        </w:rPr>
        <w:t>99.1    </w:t>
      </w:r>
      <w:hyperlink w:anchor="a2q24earningsrelease.htm">
        <w:r>
          <w:rPr>
            <w:rStyle w:val="InternetLink"/>
          </w:rPr>
          <w:t xml:space="preserve">Press Release Dated </w:t>
        </w:r>
      </w:hyperlink>
      <w:hyperlink w:anchor="a2q24earningsrelease.htm">
        <w:r>
          <w:rPr>
            <w:rStyle w:val="InternetLink"/>
          </w:rPr>
          <w:t>Ju</w:t>
        </w:r>
      </w:hyperlink>
      <w:hyperlink w:anchor="a2q24earningsrelease.htm">
        <w:r>
          <w:rPr>
            <w:rStyle w:val="InternetLink"/>
          </w:rPr>
          <w:t>ly</w:t>
        </w:r>
      </w:hyperlink>
      <w:hyperlink w:anchor="a2q24earningsrelease.htm">
        <w:r>
          <w:rPr>
            <w:rStyle w:val="InternetLink"/>
          </w:rPr>
          <w:t xml:space="preserve"> </w:t>
        </w:r>
      </w:hyperlink>
      <w:hyperlink w:anchor="a2q24earningsrelease.htm">
        <w:r>
          <w:rPr>
            <w:rStyle w:val="InternetLink"/>
          </w:rPr>
          <w:t>3</w:t>
        </w:r>
      </w:hyperlink>
      <w:hyperlink w:anchor="a2q24earningsrelease.htm">
        <w:r>
          <w:rPr>
            <w:rStyle w:val="InternetLink"/>
          </w:rPr>
          <w:t>1, 20</w:t>
        </w:r>
      </w:hyperlink>
      <w:hyperlink w:anchor="a2q24earningsrelease.htm">
        <w:r>
          <w:rPr>
            <w:rStyle w:val="InternetLink"/>
          </w:rPr>
          <w:t>2</w:t>
        </w:r>
      </w:hyperlink>
      <w:hyperlink w:anchor="a2q24earningsrelease.htm">
        <w:r>
          <w:rPr>
            <w:rStyle w:val="InternetLink"/>
          </w:rPr>
          <w:t>4</w:t>
        </w:r>
      </w:hyperlink>
    </w:p>
    <w:p>
      <w:pPr>
        <w:pStyle w:val="TextBody"/>
        <w:bidi w:val="0"/>
        <w:spacing w:lineRule="auto" w:line="288" w:before="0" w:after="0"/>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July 31,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Westwood Holdings Group, Inc. Reports Second Quarter 2024 Results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Founding Investor in the Texas Stock Exchange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Successful Launch of two Exchange-Traded Funds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Strong Pipeline of Unfunded and Prospective New Clients</w:t>
      </w:r>
    </w:p>
    <w:p>
      <w:pPr>
        <w:pStyle w:val="TextBody"/>
        <w:bidi w:val="0"/>
        <w:spacing w:before="0" w:after="0"/>
        <w:jc w:val="center"/>
        <w:rPr/>
      </w:pPr>
      <w:r>
        <w:rPr/>
      </w:r>
    </w:p>
    <w:p>
      <w:pPr>
        <w:pStyle w:val="TextBody"/>
        <w:bidi w:val="0"/>
        <w:spacing w:lineRule="auto" w:line="288" w:before="120" w:after="220"/>
        <w:jc w:val="left"/>
        <w:rPr>
          <w:rFonts w:ascii="Times New Roman;sans-serif" w:hAnsi="Times New Roman;sans-serif"/>
          <w:b w:val="false"/>
          <w:color w:val="000000"/>
          <w:sz w:val="24"/>
        </w:rPr>
      </w:pPr>
      <w:r>
        <w:rPr>
          <w:rFonts w:ascii="Times New Roman;sans-serif" w:hAnsi="Times New Roman;sans-serif"/>
          <w:b w:val="false"/>
          <w:color w:val="000000"/>
          <w:sz w:val="24"/>
        </w:rPr>
        <w:t>Dallas, TX, July 31, 2024 – Westwood Holdings Group, Inc. (NYSE: WHG) today reported second quarter 2024 earnings. Significant items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rPr>
        <w:t>Investment strategies beating their primary benchmarks included LargeCap Value, AllCap Value, Dividend Select, High Income, Credit Opportunities, Real Estate Income, MLP SMA, MLP High Conviction and MLP &amp; Energy Infrastructure.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MLP SMA, MLP High Conviction and MLP &amp; Energy Infrastructure posted top quartile rankings.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rPr>
        <w:t>We launched our first two exchange-traded funds ("ETFs") in the quarter – the Westwood Salient Enhanced Midstream Income Fund (NYSE: MDST) and the Westwood Salient Enhanced Energy Income Fund (NASDAQ: WEEI). The funds’ net assets as of June 30, 2024 were $43 and $13 million, respectively. The funds are generating high distributable monthly income with annualized distribution rates as of June 27, 2024 of 10.7% for MDST and 11.4% for WEEI.</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Quarterly revenues totaled $22.7 million flat from the first quarter's $22.7 million and up from $21.9 million a year ago. Comprehensive loss of $2.2 million compared with the first quarter's income of $2.3 million and $2.9 million in 2023's second quarter.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Our comprehensive loss included a $3.8 million after tax charge following an increase in the fair value of contingent consideration for our 2022 Salient acquisition due to an increased earnout valuation based on revised revenue expectations.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Non-GAAP Economic Loss of $0.5 million compared with the first quarter's Economic Earnings of $3.0 million and $4.0 million in the second quarter of 2023, both driven primarily by contingent consideration revaluations.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Westwood held $44.1 million in cash and short-term investments as of June 30, 2024, down $2.5 million from the first quarter. Stockholders' equity totaled $118.5 million and we have no debt.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 declared a cash dividend of $0.15 per common share, payable on October 1, 2024 to stockholders of record on September 2, 2024.</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Brian Casey, Westwood’s CEO, commented, "We are pleased with our continued progress during the second quarter. Our successful launch of two ETFs and additional wins in the traditional institutional business validate the work that we have been doing for the past several years. In addition, we continue to invest in our new Managed Investment Solutions ("MIS") offering and saw a significant turnaround in revenues from Salient and Broadmark products. While both the investment in MIS and the additional consideration to be paid for the Salient and Broadmark businesses were a drain on earnings in the quarter, they represent good news for our investors. We are proud to be a founding member of the Texas Stock Exchange, the only Texas-based publicly-traded asset management and wealth firm listed as a founder of the Texas Stock Exchange. There are great things happening in Texas and we are excited to be a part of the capital formation that will inspire new businesses in the years ahead.</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 are also eagerly anticipating the coming launch of our MIS capability planned for the third quarter. We have already conducted many meetings with prospects, including several discussions with premier national consultants. The reception has been overwhelmingly positive so far and we are looking forward to securing new clients for MIS by year end."</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Revenues were flat to the first quarter and up from last year's second quarter.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Firmwide assets under management and advisement totaled $16.8 billion, consisting of assets under management ("AUM") of $15.8 billion and assets under advisement ("AUA") of $1.0 billion.</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Second quarter comprehensive loss of $2.2 million compared to the first quarter's income of $2.3 million due to changes in the fair value of contingent consideration and income taxes. Diluted earnings (loss) per share ("EPS") of $(0.27) compared to $0.27 for the first quarter. Non-GAAP Economic Loss of $0.5 million, or $0.06 per share, compared with Economic Earnings of $3.0 million, or $0.36 per share, in the first quarter.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Second quarter comprehensive loss of $2.2 million compared to last year's second quarter income of $2.9 million due to changes in the fair value of contingent consideration and income taxes. Diluted EPS of $(0.27) compared with $0.36 per share for 2023's second quarter. Non-GAAP Economic Losses were $0.5 million, or $0.06 per share, compared with Economic Earnings of $4.0 million, or $0.49 per share, in the second quarter of 2023.</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Economic Earnings (Loss)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Westwood will host a conference call to discuss second quarter 2024 results and other business matters at 4:30 p.m. Eastern time today. To join the conference call, please register here:</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https://register.vevent.com/register/BI686aa6f159f6411798a220c88cb93b08</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After registering, you will be provided with a dial-in number containing a personalized PIN.</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Webcast Link: https://edge.media-server.com/mmc/p/8v6a2uhs</w:t>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ABOUT WESTWOOD HOLDINGS GROUP</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 is a focused investment management boutique and wealth management firm.</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Founded in 1983, Westwood offers a broad array of investment solutions to institutional investors, private wealth clients and financial intermediaries. The firm specializes in several distinct investment capabilities: U.S. Value Equity, Multi-Asset, Energy &amp; Real Assets, Income Alternatives, Tactical Absolute Return and Managed Investment Solutions, which are available through separate accounts, the Westwood Funds® family of mutual funds, exchange-traded funds ("ETFs") and other pooled vehicles. Westwood benefits from significant, broad-based employee ownership and trades on the New York Stock Exchange under the symbol "WHG." Based in Dallas, Westwood also maintains offices in Chicago, Houston and San Francisco.</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more information on Westwood, please visit westwoodgroup.com.</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2023 and its quarterly report on Form 10-Q for the quarters ended March 31, 2024 and June 30, 2024.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SOURCE: Westwood Holdings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(WHG-G)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Terry Forbes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 (LOSS)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9982" w:type="dxa"/>
        <w:jc w:val="left"/>
        <w:tblInd w:w="0" w:type="dxa"/>
        <w:tblLayout w:type="fixed"/>
        <w:tblCellMar>
          <w:top w:w="28" w:type="dxa"/>
          <w:left w:w="28" w:type="dxa"/>
          <w:bottom w:w="28" w:type="dxa"/>
          <w:right w:w="28" w:type="dxa"/>
        </w:tblCellMar>
      </w:tblPr>
      <w:tblGrid>
        <w:gridCol w:w="2055"/>
        <w:gridCol w:w="1809"/>
        <w:gridCol w:w="1821"/>
        <w:gridCol w:w="238"/>
        <w:gridCol w:w="785"/>
        <w:gridCol w:w="132"/>
        <w:gridCol w:w="109"/>
        <w:gridCol w:w="109"/>
        <w:gridCol w:w="109"/>
        <w:gridCol w:w="266"/>
        <w:gridCol w:w="876"/>
        <w:gridCol w:w="147"/>
        <w:gridCol w:w="109"/>
        <w:gridCol w:w="109"/>
        <w:gridCol w:w="109"/>
        <w:gridCol w:w="236"/>
        <w:gridCol w:w="778"/>
        <w:gridCol w:w="185"/>
      </w:tblGrid>
      <w:tr>
        <w:trPr/>
        <w:tc>
          <w:tcPr>
            <w:tcW w:w="205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 (loss)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private investments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 (loss)</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(loss) attributable to noncontrolling interest</w:t>
            </w:r>
          </w:p>
        </w:tc>
        <w:tc>
          <w:tcPr>
            <w:tcW w:w="10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 attributable to Westwood Holdings Group, Inc.</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(loss) per Westwood Holdings Group, Inc. share: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8,218,596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7,991,228</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8,218,596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8,392,496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8,131,333</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 (LOSS)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8050" w:type="dxa"/>
        <w:jc w:val="left"/>
        <w:tblInd w:w="0" w:type="dxa"/>
        <w:tblLayout w:type="fixed"/>
        <w:tblCellMar>
          <w:top w:w="28" w:type="dxa"/>
          <w:left w:w="28" w:type="dxa"/>
          <w:bottom w:w="28" w:type="dxa"/>
          <w:right w:w="28" w:type="dxa"/>
        </w:tblCellMar>
      </w:tblPr>
      <w:tblGrid>
        <w:gridCol w:w="1940"/>
        <w:gridCol w:w="1706"/>
        <w:gridCol w:w="1723"/>
        <w:gridCol w:w="238"/>
        <w:gridCol w:w="785"/>
        <w:gridCol w:w="132"/>
        <w:gridCol w:w="109"/>
        <w:gridCol w:w="109"/>
        <w:gridCol w:w="109"/>
        <w:gridCol w:w="236"/>
        <w:gridCol w:w="778"/>
        <w:gridCol w:w="185"/>
      </w:tblGrid>
      <w:tr>
        <w:trPr/>
        <w:tc>
          <w:tcPr>
            <w:tcW w:w="194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Performance-based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 (loss)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private investments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before income taxes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 (loss)</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(loss) attributable to noncontrolling interest</w:t>
            </w:r>
          </w:p>
        </w:tc>
        <w:tc>
          <w:tcPr>
            <w:tcW w:w="10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attributable to Westwood Holdings Group, Inc.</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per share: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8,158,812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7,922,954</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8,438,431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8,050,298</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 except par value and share amounts)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906"/>
        <w:gridCol w:w="2193"/>
        <w:gridCol w:w="2204"/>
        <w:gridCol w:w="207"/>
        <w:gridCol w:w="780"/>
        <w:gridCol w:w="115"/>
        <w:gridCol w:w="109"/>
        <w:gridCol w:w="109"/>
        <w:gridCol w:w="109"/>
        <w:gridCol w:w="247"/>
        <w:gridCol w:w="930"/>
        <w:gridCol w:w="137"/>
        <w:gridCol w:w="159"/>
      </w:tblGrid>
      <w:tr>
        <w:trPr/>
        <w:tc>
          <w:tcPr>
            <w:tcW w:w="290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investments at fair value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$8,180 and $10,078</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assets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82,929 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155,167 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25,000,000 shares, issued 12,174,073 and 11,856,737, respectively and outstanding 9,293,447 and 9,140,760,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 2,880,626 and 2,715,977,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(85,990)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Westwood Holdings Group, Inc. stockholders’ equity</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 in consolidated subsidiary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155,167 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9191" w:type="dxa"/>
        <w:jc w:val="center"/>
        <w:tblInd w:w="0" w:type="dxa"/>
        <w:tblLayout w:type="fixed"/>
        <w:tblCellMar>
          <w:top w:w="28" w:type="dxa"/>
          <w:left w:w="28" w:type="dxa"/>
          <w:bottom w:w="28" w:type="dxa"/>
          <w:right w:w="28" w:type="dxa"/>
        </w:tblCellMar>
      </w:tblPr>
      <w:tblGrid>
        <w:gridCol w:w="2502"/>
        <w:gridCol w:w="2201"/>
        <w:gridCol w:w="2212"/>
        <w:gridCol w:w="196"/>
        <w:gridCol w:w="647"/>
        <w:gridCol w:w="109"/>
        <w:gridCol w:w="109"/>
        <w:gridCol w:w="109"/>
        <w:gridCol w:w="109"/>
        <w:gridCol w:w="196"/>
        <w:gridCol w:w="647"/>
        <w:gridCol w:w="154"/>
      </w:tblGrid>
      <w:tr>
        <w:trPr/>
        <w:tc>
          <w:tcPr>
            <w:tcW w:w="2502"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asset disposition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remeasurement of lease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change of contingent consideration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(purchases) sales of trading securities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net of cash acquired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 in acquisition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WESTWOOD HOLDINGS GROUP, INC. AND SUBSIDIARIES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Reconciliation of Comprehensive Income (Loss) Attributable to Westwood Holdings Group, Inc. to Economic Earnings (Loss)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(in thousands, except per share and share amounts)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supplemental information, we are providing non-GAAP performance measures that we refer to as Economic Earnings (Loss)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 define Economic Earnings (Loss)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(Loss) because gains and losses on changes in the fair value of contingent consideration are considered regular following an acquisition. In addition, we do not adjust Economic Earnings (Loss) for tax deductions related to restricted stock expense or amortization of intangible assets. Economic EPS represents Economic Earnings (Loss) divided by diluted weighted average shares outstanding.</w:t>
      </w:r>
    </w:p>
    <w:p>
      <w:pPr>
        <w:pStyle w:val="TextBody"/>
        <w:bidi w:val="0"/>
        <w:spacing w:before="12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9894" w:type="dxa"/>
        <w:jc w:val="center"/>
        <w:tblInd w:w="0" w:type="dxa"/>
        <w:tblLayout w:type="fixed"/>
        <w:tblCellMar>
          <w:top w:w="28" w:type="dxa"/>
          <w:left w:w="28" w:type="dxa"/>
          <w:bottom w:w="28" w:type="dxa"/>
          <w:right w:w="28" w:type="dxa"/>
        </w:tblCellMar>
      </w:tblPr>
      <w:tblGrid>
        <w:gridCol w:w="2060"/>
        <w:gridCol w:w="1810"/>
        <w:gridCol w:w="1815"/>
        <w:gridCol w:w="235"/>
        <w:gridCol w:w="759"/>
        <w:gridCol w:w="131"/>
        <w:gridCol w:w="109"/>
        <w:gridCol w:w="109"/>
        <w:gridCol w:w="109"/>
        <w:gridCol w:w="287"/>
        <w:gridCol w:w="814"/>
        <w:gridCol w:w="159"/>
        <w:gridCol w:w="109"/>
        <w:gridCol w:w="109"/>
        <w:gridCol w:w="109"/>
        <w:gridCol w:w="253"/>
        <w:gridCol w:w="718"/>
        <w:gridCol w:w="199"/>
      </w:tblGrid>
      <w:tr>
        <w:trPr/>
        <w:tc>
          <w:tcPr>
            <w:tcW w:w="206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(loss) attributable to Westwood Holdings Group, Inc.</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 (loss)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 (Loss)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(loss) per share</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(0.27)</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0.27 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0.36 </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 (loss)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1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8,218,596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8,392,496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8,131,333</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attributable to Westwood Holdings Group, Inc.</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3,588 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per share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0.45 </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0.41</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0.26</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0.03</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8,438,431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8,050,298</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3535</Words>
  <Characters>20492</Characters>
  <CharactersWithSpaces>23664</CharactersWithSpaces>
  <Paragraphs>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