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12, 2025</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Wingdings" w:cs="Wingdings" w:eastAsia="Wingdings" w:hAnsi="Wingdings"/>
          <w:sz w:val="18"/>
          <w:szCs w:val="18"/>
          <w:b w:val="1"/>
          <w:bCs w:val="1"/>
          <w:color w:val="auto"/>
        </w:rPr>
      </w:pPr>
    </w:p>
    <w:p>
      <w:pPr>
        <w:ind w:left="520" w:hanging="332"/>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6"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56"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On February 12, 2025, Westwood Holdings Group, Inc. (“Westwood”) announced its financial results for the quarter ended December 31, 2024, a copy of which is furnished with this Current Report on Form 8-K as Exhibit 99.1.</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12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$0.15 per common share, payable on April 1, 2025 to stockholders of record on March 3, 2025.</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Exhibit Number</w:t>
      </w:r>
      <w:r>
        <w:rPr>
          <w:sz w:val="20"/>
          <w:szCs w:val="20"/>
          <w:color w:val="auto"/>
        </w:rPr>
        <w:tab/>
      </w:r>
      <w:r>
        <w:rPr>
          <w:rFonts w:ascii="Times New Roman" w:cs="Times New Roman" w:eastAsia="Times New Roman" w:hAnsi="Times New Roman"/>
          <w:sz w:val="19"/>
          <w:szCs w:val="19"/>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February 12, 2025</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12, 2025</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Westwood Holdings Group Reports Fourth Quarter and Full Year 2024 Results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ETF platform strongly outperforms AUM and volume targets for MDST</w:t>
      </w:r>
    </w:p>
    <w:p>
      <w:pPr>
        <w:jc w:val="center"/>
        <w:spacing w:after="0"/>
        <w:rPr>
          <w:sz w:val="20"/>
          <w:szCs w:val="20"/>
          <w:color w:val="auto"/>
        </w:rPr>
      </w:pPr>
      <w:r>
        <w:rPr>
          <w:rFonts w:ascii="Times New Roman" w:cs="Times New Roman" w:eastAsia="Times New Roman" w:hAnsi="Times New Roman"/>
          <w:sz w:val="20"/>
          <w:szCs w:val="20"/>
          <w:color w:val="auto"/>
        </w:rPr>
        <w:t>Westwood Engineered Beta partnership launches first two innovative ETFs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Westwood's Board authorized an additional $5.0 million of share repurchases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February 12, 2025 – Westwood Holdings Group, Inc. (NYSE: WHG) today reported fourth quarter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include:</w:t>
      </w:r>
    </w:p>
    <w:p>
      <w:pPr>
        <w:spacing w:after="0" w:line="182" w:lineRule="exact"/>
        <w:rPr>
          <w:sz w:val="20"/>
          <w:szCs w:val="20"/>
          <w:color w:val="auto"/>
        </w:rPr>
      </w:pPr>
    </w:p>
    <w:p>
      <w:pPr>
        <w:ind w:left="6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strategies beating their primary benchmarks included LargeCap Value, Dividend Select, Multi-Asset Income, Intermediate Fixed Income, Credit Opportunities, Global Real Estate, MLP SMA and MLP High Conviction.</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Multi-Asset Income, Global Real Estate and MLP SMA all posted top quartile rankings in their peer universes.</w:t>
      </w:r>
    </w:p>
    <w:p>
      <w:pPr>
        <w:spacing w:after="0" w:line="111" w:lineRule="exact"/>
        <w:rPr>
          <w:rFonts w:ascii="Times New Roman" w:cs="Times New Roman" w:eastAsia="Times New Roman" w:hAnsi="Times New Roman"/>
          <w:sz w:val="22"/>
          <w:szCs w:val="22"/>
          <w:color w:val="auto"/>
        </w:rPr>
      </w:pPr>
    </w:p>
    <w:p>
      <w:pPr>
        <w:ind w:left="660" w:right="48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Salient Enhanced Midstream Income ETF (MDST) reached $73 million in assets by year-end amid strong trading volumes.</w:t>
      </w:r>
    </w:p>
    <w:p>
      <w:pPr>
        <w:spacing w:after="0" w:line="63"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71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Quarterly revenues totaled $25.6 million versus the third quarter's $23.7 million and $23.2 million a year ago. Comprehensive income of $2.1 million compared with $0.1 million in the third quarter and $2.6 million in the fourth quarter of 2023.</w:t>
      </w:r>
    </w:p>
    <w:p>
      <w:pPr>
        <w:spacing w:after="0" w:line="118" w:lineRule="exact"/>
        <w:rPr>
          <w:rFonts w:ascii="Times New Roman" w:cs="Times New Roman" w:eastAsia="Times New Roman" w:hAnsi="Times New Roman"/>
          <w:sz w:val="22"/>
          <w:szCs w:val="22"/>
          <w:color w:val="auto"/>
        </w:rPr>
      </w:pPr>
    </w:p>
    <w:p>
      <w:pPr>
        <w:ind w:left="660" w:hanging="328"/>
        <w:spacing w:after="0" w:line="271" w:lineRule="auto"/>
        <w:tabs>
          <w:tab w:leader="none" w:pos="69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Annual comprehensive income included an after-tax charge of $2.7 million due to an increase in the fair value of contingent consideration from our 2022 Salient acquisition, reflecting increased revenues.</w:t>
      </w:r>
    </w:p>
    <w:p>
      <w:pPr>
        <w:spacing w:after="0" w:line="117" w:lineRule="exact"/>
        <w:rPr>
          <w:rFonts w:ascii="Times New Roman" w:cs="Times New Roman" w:eastAsia="Times New Roman" w:hAnsi="Times New Roman"/>
          <w:sz w:val="22"/>
          <w:szCs w:val="22"/>
          <w:b w:val="1"/>
          <w:bCs w:val="1"/>
          <w:color w:val="auto"/>
        </w:rPr>
      </w:pPr>
    </w:p>
    <w:p>
      <w:pPr>
        <w:ind w:left="6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Economic Earnings of $3.4 million for the quarter compared with $1.1 million in the third quarter and $2.8 million in the fourth quarter of 2023.</w:t>
      </w:r>
    </w:p>
    <w:p>
      <w:pPr>
        <w:spacing w:after="0" w:line="103" w:lineRule="exact"/>
        <w:rPr>
          <w:rFonts w:ascii="Times New Roman" w:cs="Times New Roman" w:eastAsia="Times New Roman" w:hAnsi="Times New Roman"/>
          <w:sz w:val="22"/>
          <w:szCs w:val="22"/>
          <w:color w:val="auto"/>
        </w:rPr>
      </w:pPr>
    </w:p>
    <w:p>
      <w:pPr>
        <w:ind w:left="660" w:hanging="328"/>
        <w:spacing w:after="0" w:line="271" w:lineRule="auto"/>
        <w:tabs>
          <w:tab w:leader="none" w:pos="6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Westwood held $44.6 million in cash and liquid investments at December 31, 2024, down $3.7 million from September 30, 2024. Stockholders' equity totaled $120.3 million as of December 31, 2024 and we continue to have no debt.</w:t>
      </w:r>
    </w:p>
    <w:p>
      <w:pPr>
        <w:spacing w:after="0" w:line="103" w:lineRule="exact"/>
        <w:rPr>
          <w:rFonts w:ascii="Times New Roman" w:cs="Times New Roman" w:eastAsia="Times New Roman" w:hAnsi="Times New Roman"/>
          <w:sz w:val="22"/>
          <w:szCs w:val="22"/>
          <w:b w:val="1"/>
          <w:bCs w:val="1"/>
          <w:color w:val="auto"/>
        </w:rPr>
      </w:pPr>
    </w:p>
    <w:p>
      <w:pPr>
        <w:ind w:left="6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Westwood's Board of Directors authorized the addition of $5.0 million to the previous share repurchase program, resulting in $5.5 million available for share repurchases.</w:t>
      </w:r>
    </w:p>
    <w:p>
      <w:pPr>
        <w:spacing w:after="0" w:line="63" w:lineRule="exact"/>
        <w:rPr>
          <w:rFonts w:ascii="Times New Roman" w:cs="Times New Roman" w:eastAsia="Times New Roman" w:hAnsi="Times New Roman"/>
          <w:sz w:val="22"/>
          <w:szCs w:val="22"/>
          <w:color w:val="auto"/>
        </w:rPr>
      </w:pPr>
    </w:p>
    <w:p>
      <w:pPr>
        <w:ind w:left="6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declared a cash dividend of $0.15 per common share, payable on April 1, 2025 to stockholders of record on March 3, 2025.</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Brian Casey, Westwood’s CEO, commented, "We celebrated the second anniversary of the acquisition of Salient Partners' asset management business and are very pleased to report that the strategic combination continues to exceed our expectations. Our enhanced capabilities in energy and real estate income strategies have broadened our product reach while improving our average fee rate. We successfully launched two innovative exchange-traded funds ("ETFs") within the Westwood Engineered Beta ("WEBs") partnership that we formed with ETF industry veteran Ben Fulton. The WEBs Defined Volatility SPY ETF (DVSP) and the WEBs Defined Volatility QQQ ETF (DVQQ) are designed to provide a more stable investment experience across market conditions using a dynamic, rules-based</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22"/>
          <w:szCs w:val="22"/>
          <w:color w:val="auto"/>
        </w:rPr>
        <w:t>strategy to adjust exposure to equity markets based on real-time volatility. We are working hard across our sales channels to inform advisors and strategists about the benefits of all of our new ETFs, including Westwood Salient Enhanced Midstream Income ETF (MDST) and Westwood Salient Enhanced Energy Income ETF (WEEI), and we are looking forward to gaining traction and scale. Lastly, our pipeline for our traditional business is much improved compared with last year and we anticipate healthy opportunities for 2025 and beyond."</w:t>
      </w:r>
    </w:p>
    <w:p>
      <w:pPr>
        <w:spacing w:after="0" w:line="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Revenues increased from the third quarter and 2023's fourth quarter primarily due to higher average assets under management ("AUM") and higher performance fees.</w:t>
      </w:r>
    </w:p>
    <w:p>
      <w:pPr>
        <w:spacing w:after="0" w:line="5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22"/>
          <w:szCs w:val="22"/>
          <w:color w:val="auto"/>
        </w:rPr>
        <w:t>Firmwide assets under management and advisement totaled $17.6 billion, consisting of $16.6 billion in AUM and assets under advisement ("AUA") of $1.0 billion.</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Fourth quarter comprehensive income of $2.1 million compared to $0.1 million in the third quarter on higher revenues and changes in the fair value of contingent consideration, partially offset by higher income taxes. Diluted EPS of $0.24 compared to $0.01 per share for the third quarter. Non-GAAP Economic Earnings were $3.4 million, or $0.39 per share, compared to the third quarter's $1.1 million, or $0.13 per share.</w:t>
      </w:r>
    </w:p>
    <w:p>
      <w:pPr>
        <w:spacing w:after="0" w:line="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Fourth quarter comprehensive income of $2.1 million compared to last year's fourth quarter of $2.6 million following higher revenues, offset by changes in the fair value of contingent consideration and higher employee expenses driven by performance-related incentive compensation. Diluted EPS of $0.24 compared with $0.32 per share for 2023's fourth quarter. Non-GAAP Economic Earnings of $3.4 million, or $0.39 per share, compared to $2.8 million, or $0.34 per share, in the fourth quarter of 2023.</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2024 comprehensive income of $2.2 million compared to $9.5 million in 2023 on higher revenues and lower income taxes, offset by changes in the fair value of contingent consideration, higher employee expenses driven by higher performance-related incentive compensation, and life insurance proceeds received in 2023. Diluted EPS was $0.26 per share compared with $1.17 per share for 2023. Economic EPS of $0.82 compared with $2.26 in 2023.</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and Economic EPS are non-GAAP performance measures that are explained and reconciled with the most comparable GAAP numbers in the attached tables.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Westwood will host a conference call to discuss fourth quarter and fiscal year 2024 results and other business matters at 4:30 p.m.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Eastern time today. To join the conference call, please register here: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https://register.vevent.com/register/BI823ff804a3ee4809b6e9b55dcda1c3a0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After registering, you will be provided with a dial-in number containing a personalized PIN.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view the webcast, please register here: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https://edge.media-server.com/mmc/p/4d3bsq89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registered, an email will be sent with important details for this conference call, as well as a unique Registrant ID.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 HOLDINGS GROUP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 is a focused investment management boutique and wealth management firm.</w:t>
      </w:r>
    </w:p>
    <w:p>
      <w:pPr>
        <w:spacing w:after="0" w:line="11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1"/>
          <w:szCs w:val="21"/>
          <w:color w:val="auto"/>
        </w:rPr>
        <w:t>Founded in 1983, Westwood offers a broad array of investment solutions to institutional investors, private wealth clients and financial intermediaries. The firm specializes in several distinct investment capabilities: U.S. Value Equity, Multi-Asset, Energy</w:t>
      </w:r>
    </w:p>
    <w:p>
      <w:pPr>
        <w:spacing w:after="0" w:line="2" w:lineRule="exact"/>
        <w:rPr>
          <w:sz w:val="20"/>
          <w:szCs w:val="20"/>
          <w:color w:val="auto"/>
        </w:rPr>
      </w:pPr>
    </w:p>
    <w:p>
      <w:pPr>
        <w:ind w:right="240" w:firstLine="8"/>
        <w:spacing w:after="0" w:line="248" w:lineRule="auto"/>
        <w:tabs>
          <w:tab w:leader="none" w:pos="22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Assets, Income Alternatives, Tactical Absolute Return and Managed Investment Solutions, which are available through separate accounts, the Westwood Funds®</w:t>
      </w:r>
    </w:p>
    <w:p>
      <w:pPr>
        <w:sectPr>
          <w:pgSz w:w="11900" w:h="16838" w:orient="portrait"/>
          <w:cols w:equalWidth="0" w:num="1">
            <w:col w:w="11240"/>
          </w:cols>
          <w:pgMar w:left="320" w:top="1003" w:right="339" w:bottom="1440" w:gutter="0" w:footer="0" w:header="0"/>
        </w:sectPr>
      </w:pPr>
    </w:p>
    <w:bookmarkStart w:id="5" w:name="page6"/>
    <w:bookmarkEnd w:id="5"/>
    <w:p>
      <w:pPr>
        <w:jc w:val="both"/>
        <w:ind w:right="200"/>
        <w:spacing w:after="0" w:line="257" w:lineRule="auto"/>
        <w:rPr>
          <w:sz w:val="20"/>
          <w:szCs w:val="20"/>
          <w:color w:val="auto"/>
        </w:rPr>
      </w:pPr>
      <w:r>
        <w:rPr>
          <w:rFonts w:ascii="Times New Roman" w:cs="Times New Roman" w:eastAsia="Times New Roman" w:hAnsi="Times New Roman"/>
          <w:sz w:val="22"/>
          <w:szCs w:val="22"/>
          <w:color w:val="auto"/>
        </w:rPr>
        <w:t>family of mutual funds, exchange-traded funds ("ETFs") and other pooled vehicles. Westwood benefits from significant, broad-based employee ownership and trades on the New York Stock Exchange under the symbol "WHG." Based in Dallas, Westwood also maintains offices in Chicago, Houston and San Francisco.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2023 and its quarterly report on Form 10-Q for the quarters ended March 31, 2024, June 30, 2024 and September 30, 2024.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(214) 756-6900</w:t>
      </w:r>
    </w:p>
    <w:p>
      <w:pPr>
        <w:sectPr>
          <w:pgSz w:w="11900" w:h="16838" w:orient="portrait"/>
          <w:cols w:equalWidth="0" w:num="1">
            <w:col w:w="10139"/>
          </w:cols>
          <w:pgMar w:left="320" w:top="100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16,657</w:t>
            </w:r>
          </w:p>
        </w:tc>
        <w:tc>
          <w:tcPr>
            <w:tcW w:w="0" w:type="dxa"/>
            <w:vAlign w:val="bottom"/>
          </w:tcPr>
          <w:p>
            <w:pPr>
              <w:spacing w:after="0"/>
              <w:rPr>
                <w:sz w:val="1"/>
                <w:szCs w:val="1"/>
                <w:color w:val="auto"/>
              </w:rPr>
            </w:pPr>
          </w:p>
        </w:tc>
      </w:tr>
      <w:tr>
        <w:trPr>
          <w:trHeight w:val="195"/>
        </w:trPr>
        <w:tc>
          <w:tcPr>
            <w:tcW w:w="58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89"/>
        </w:trPr>
        <w:tc>
          <w:tcPr>
            <w:tcW w:w="58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23,229</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Westwood mutual funds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from change in fair value of contingent consideration</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24,213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0" w:type="dxa"/>
            <w:vAlign w:val="bottom"/>
          </w:tcPr>
          <w:p>
            <w:pPr>
              <w:spacing w:after="0"/>
              <w:rPr>
                <w:sz w:val="1"/>
                <w:szCs w:val="1"/>
                <w:color w:val="auto"/>
              </w:rPr>
            </w:pPr>
          </w:p>
        </w:tc>
      </w:tr>
      <w:tr>
        <w:trPr>
          <w:trHeight w:val="20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60" w:type="dxa"/>
            <w:vAlign w:val="bottom"/>
            <w:vMerge w:val="continue"/>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Westwood Holdings Group, Inc.</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8,271,614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8,123,714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8,007,896</w:t>
            </w:r>
          </w:p>
        </w:tc>
        <w:tc>
          <w:tcPr>
            <w:tcW w:w="0" w:type="dxa"/>
            <w:vAlign w:val="bottom"/>
          </w:tcPr>
          <w:p>
            <w:pPr>
              <w:spacing w:after="0"/>
              <w:rPr>
                <w:sz w:val="1"/>
                <w:szCs w:val="1"/>
                <w:color w:val="auto"/>
              </w:rPr>
            </w:pPr>
          </w:p>
        </w:tc>
      </w:tr>
      <w:tr>
        <w:trPr>
          <w:trHeight w:val="195"/>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8,756,976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8,488,372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8,184,736</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Earnings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2660" w:type="dxa"/>
            <w:vAlign w:val="bottom"/>
            <w:tcBorders>
              <w:bottom w:val="single" w:sz="8" w:color="auto"/>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Advisory fees: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Asset-based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69,755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67,391</w:t>
            </w:r>
          </w:p>
        </w:tc>
        <w:tc>
          <w:tcPr>
            <w:tcW w:w="0" w:type="dxa"/>
            <w:vAlign w:val="bottom"/>
          </w:tcPr>
          <w:p>
            <w:pPr>
              <w:spacing w:after="0"/>
              <w:rPr>
                <w:sz w:val="1"/>
                <w:szCs w:val="1"/>
                <w:color w:val="auto"/>
              </w:rPr>
            </w:pP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Trust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20,242</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Trust 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94,721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89,781</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52,918</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Westwood mutual funds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Information technology</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Professional services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loss from change in fair value of contingent consideration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0" w:type="dxa"/>
            <w:vAlign w:val="bottom"/>
          </w:tcPr>
          <w:p>
            <w:pPr>
              <w:spacing w:after="0"/>
              <w:rPr>
                <w:sz w:val="1"/>
                <w:szCs w:val="1"/>
                <w:color w:val="auto"/>
              </w:rPr>
            </w:pPr>
          </w:p>
        </w:tc>
      </w:tr>
      <w:tr>
        <w:trPr>
          <w:trHeight w:val="19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expenses</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93,891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83,776</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operating income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0" w:type="dxa"/>
            <w:vAlign w:val="bottom"/>
          </w:tcPr>
          <w:p>
            <w:pPr>
              <w:spacing w:after="0"/>
              <w:rPr>
                <w:sz w:val="1"/>
                <w:szCs w:val="1"/>
                <w:color w:val="auto"/>
              </w:rPr>
            </w:pPr>
          </w:p>
        </w:tc>
      </w:tr>
      <w:tr>
        <w:trPr>
          <w:trHeight w:val="16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Westwood Holdings Group, Inc.</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8,163,465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7,964,423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8,515,779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8,112,139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Economic Earnings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0" w:type="dxa"/>
            <w:vAlign w:val="bottom"/>
          </w:tcPr>
          <w:p>
            <w:pPr>
              <w:spacing w:after="0"/>
              <w:rPr>
                <w:sz w:val="1"/>
                <w:szCs w:val="1"/>
                <w:color w:val="auto"/>
              </w:rPr>
            </w:pPr>
          </w:p>
        </w:tc>
      </w:tr>
      <w:tr>
        <w:trPr>
          <w:trHeight w:val="195"/>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Economic EPS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9" w:name="page10"/>
    <w:bookmarkEnd w:id="9"/>
    <w:p>
      <w:pPr>
        <w:ind w:right="516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20,422</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14,394</w:t>
            </w: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Investments at fair value (amortized cost of $26,788 and $32,982)</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32,915</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 under measurement alternative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7,247</w:t>
            </w: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method investments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4,284</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taxes receivable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w:t>
            </w: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5,553</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39,501</w:t>
            </w: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3,673</w:t>
            </w: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24,803</w:t>
            </w: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$8,424 and $10,078</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w:t>
            </w:r>
          </w:p>
        </w:tc>
      </w:tr>
      <w:tr>
        <w:trPr>
          <w:trHeight w:val="198"/>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149,989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155,167</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8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5"/>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6,130</w:t>
            </w:r>
          </w:p>
        </w:tc>
      </w:tr>
      <w:tr>
        <w:trPr>
          <w:trHeight w:val="200"/>
        </w:trPr>
        <w:tc>
          <w:tcPr>
            <w:tcW w:w="8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Dividends payable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2,367</w:t>
            </w:r>
          </w:p>
        </w:tc>
      </w:tr>
      <w:tr>
        <w:trPr>
          <w:trHeight w:val="205"/>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9,539</w:t>
            </w:r>
          </w:p>
        </w:tc>
      </w:tr>
      <w:tr>
        <w:trPr>
          <w:trHeight w:val="200"/>
        </w:trPr>
        <w:tc>
          <w:tcPr>
            <w:tcW w:w="81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4,552</w:t>
            </w:r>
          </w:p>
        </w:tc>
      </w:tr>
      <w:tr>
        <w:trPr>
          <w:trHeight w:val="205"/>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10,133</w:t>
            </w:r>
          </w:p>
        </w:tc>
      </w:tr>
      <w:tr>
        <w:trPr>
          <w:trHeight w:val="194"/>
        </w:trPr>
        <w:tc>
          <w:tcPr>
            <w:tcW w:w="8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27,657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32,721</w:t>
            </w:r>
          </w:p>
        </w:tc>
      </w:tr>
      <w:tr>
        <w:trPr>
          <w:trHeight w:val="18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48"/>
        </w:trPr>
        <w:tc>
          <w:tcPr>
            <w:tcW w:w="8140" w:type="dxa"/>
            <w:vAlign w:val="bottom"/>
          </w:tcPr>
          <w:p>
            <w:pPr>
              <w:ind w:left="360"/>
              <w:spacing w:after="0" w:line="149"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12,137,080 and 11,856,737, respectively and</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12"/>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outstanding 9,234,575 and 9,140,760, respectively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r>
      <w:tr>
        <w:trPr>
          <w:trHeight w:val="207"/>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202,239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201,622</w:t>
            </w: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Treasury stock, at cost – 2,902,505 and 2,715,977, respectively</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(85,990)</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4,650</w:t>
            </w:r>
          </w:p>
        </w:tc>
      </w:tr>
      <w:tr>
        <w:trPr>
          <w:trHeight w:val="194"/>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Westwood Holdings Group, Inc. stockholders' equity</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120,401</w:t>
            </w: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Noncontrolling interest in consolidated subsidiary</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2,045</w:t>
            </w:r>
          </w:p>
        </w:tc>
      </w:tr>
      <w:tr>
        <w:trPr>
          <w:trHeight w:val="194"/>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122,332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122,446</w:t>
            </w:r>
          </w:p>
        </w:tc>
      </w:tr>
      <w:tr>
        <w:trPr>
          <w:trHeight w:val="223"/>
        </w:trPr>
        <w:tc>
          <w:tcPr>
            <w:tcW w:w="8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149,989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155,167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1134" w:right="379" w:bottom="1440" w:gutter="0" w:footer="0" w:header="0"/>
        </w:sectPr>
      </w:pPr>
    </w:p>
    <w:bookmarkStart w:id="10" w:name="page11"/>
    <w:bookmarkEnd w:id="10"/>
    <w:p>
      <w:pPr>
        <w:ind w:right="4720"/>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WESTWOOD HOLDINGS GROUP, INC. AND SUBSIDIARIES CONDENSED CONSOLIDATED STATEMENTS OF CASH FLOWS </w:t>
      </w: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6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10,571</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Non-cash lease expense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Loss on asset disposition</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Gain on remeasurement of lease liabilities</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Fair value change of contingent consideration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Gain on insurance settlement</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(purchases) sales of investments – trading securities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(16,609)</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r>
      <w:tr>
        <w:trPr>
          <w:trHeight w:val="195"/>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taxes receivable</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10"/>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190"/>
        </w:trPr>
        <w:tc>
          <w:tcPr>
            <w:tcW w:w="81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w:t>
            </w: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Insurance settlement proceeds</w:t>
            </w: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96"/>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Additions to internally developed software</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r>
      <w:tr>
        <w:trPr>
          <w:trHeight w:val="176"/>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 in acquisition</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Cash dividends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w:t>
            </w:r>
          </w:p>
        </w:tc>
      </w:tr>
      <w:tr>
        <w:trPr>
          <w:trHeight w:val="203"/>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r>
      <w:tr>
        <w:trPr>
          <w:trHeight w:val="210"/>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20,422</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23,859</w:t>
            </w:r>
          </w:p>
        </w:tc>
      </w:tr>
      <w:tr>
        <w:trPr>
          <w:trHeight w:val="19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18,847</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8"/>
        </w:trPr>
        <w:tc>
          <w:tcPr>
            <w:tcW w:w="81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195"/>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r>
      <w:tr>
        <w:trPr>
          <w:trHeight w:val="195"/>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21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dividends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r>
    </w:tbl>
    <w:p>
      <w:pPr>
        <w:sectPr>
          <w:pgSz w:w="11900" w:h="16838" w:orient="portrait"/>
          <w:cols w:equalWidth="0" w:num="1">
            <w:col w:w="11220"/>
          </w:cols>
          <w:pgMar w:left="320" w:top="89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WESTWOOD HOLDINGS GROUP, INC.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Comprehensive Income Attributable to Westwood Holdings Group, Inc. to Economic Earnings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supplemental information, we are providing non-GAAP performance measures that we refer to as Economic Earnings and Economic EPS. We provide these measures in addition to, not as a substitute for, Comprehensive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Economic Earnings as Comprehensive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158"/>
        </w:trPr>
        <w:tc>
          <w:tcPr>
            <w:tcW w:w="6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3"/>
                <w:szCs w:val="13"/>
                <w:color w:val="auto"/>
              </w:rPr>
            </w:pPr>
          </w:p>
        </w:tc>
        <w:tc>
          <w:tcPr>
            <w:tcW w:w="15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Westwood Holdings Group, Inc.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r>
      <w:tr>
        <w:trPr>
          <w:trHeight w:val="21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r>
      <w:tr>
        <w:trPr>
          <w:trHeight w:val="21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 of adjustments to GAAP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183"/>
        </w:trPr>
        <w:tc>
          <w:tcPr>
            <w:tcW w:w="61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Economic Earnings</w:t>
            </w:r>
          </w:p>
        </w:tc>
        <w:tc>
          <w:tcPr>
            <w:tcW w:w="22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3,377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2,806</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1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r>
      <w:tr>
        <w:trPr>
          <w:trHeight w:val="21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1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1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impact of adjustments to GAAP comprehensive income</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1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8,488,372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8,184,736</w:t>
            </w:r>
          </w:p>
        </w:tc>
      </w:tr>
    </w:tbl>
    <w:p>
      <w:pPr>
        <w:sectPr>
          <w:pgSz w:w="11900" w:h="16838" w:orient="portrait"/>
          <w:cols w:equalWidth="0" w:num="1">
            <w:col w:w="11240"/>
          </w:cols>
          <w:pgMar w:left="320" w:top="112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8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Westwood Holdings Group, Inc.</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impact of adjustments to GAAP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r>
      <w:tr>
        <w:trPr>
          <w:trHeight w:val="183"/>
        </w:trPr>
        <w:tc>
          <w:tcPr>
            <w:tcW w:w="78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Economic Earnings</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6,965</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18,342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r>
      <w:tr>
        <w:trPr>
          <w:trHeight w:val="213"/>
        </w:trPr>
        <w:tc>
          <w:tcPr>
            <w:tcW w:w="7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6"/>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impact of adjustments to GAAP comprehensive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8,515,779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8,112,139</w:t>
            </w:r>
          </w:p>
        </w:tc>
      </w:tr>
    </w:tbl>
    <w:p>
      <w:pPr>
        <w:spacing w:after="0" w:line="1" w:lineRule="exact"/>
        <w:rPr>
          <w:sz w:val="20"/>
          <w:szCs w:val="20"/>
          <w:color w:val="auto"/>
        </w:rPr>
      </w:pPr>
    </w:p>
    <w:sectPr>
      <w:pgSz w:w="11900" w:h="16838" w:orient="portrait"/>
      <w:cols w:equalWidth="0" w:num="1">
        <w:col w:w="11180"/>
      </w:cols>
      <w:pgMar w:left="360" w:top="9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2025-02-12T15:29:26Z</dcterms:created>
  <dcterms:modified xsi:type="dcterms:W3CDTF">2025-02-12T15:29:26Z</dcterms:modified>
</cp:coreProperties>
</file>