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12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21" w:lineRule="exact"/>
        <w:rPr>
          <w:sz w:val="24"/>
          <w:szCs w:val="24"/>
          <w:color w:val="auto"/>
        </w:rPr>
      </w:pPr>
    </w:p>
    <w:p>
      <w:pPr>
        <w:ind w:left="480" w:hanging="344"/>
        <w:spacing w:after="0"/>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9" w:lineRule="exact"/>
        <w:rPr>
          <w:sz w:val="24"/>
          <w:szCs w:val="24"/>
          <w:color w:val="auto"/>
        </w:rPr>
      </w:pPr>
    </w:p>
    <w:tbl>
      <w:tblPr>
        <w:tblLayout w:type="fixed"/>
        <w:tblInd w:w="37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3140" w:type="dxa"/>
            <w:vAlign w:val="bottom"/>
            <w:gridSpan w:val="3"/>
          </w:tcPr>
          <w:p>
            <w:pPr>
              <w:ind w:left="600"/>
              <w:spacing w:after="0"/>
              <w:rPr>
                <w:sz w:val="20"/>
                <w:szCs w:val="20"/>
                <w:color w:val="auto"/>
              </w:rPr>
            </w:pPr>
            <w:r>
              <w:rPr>
                <w:rFonts w:ascii="Arial" w:cs="Arial" w:eastAsia="Arial" w:hAnsi="Arial"/>
                <w:sz w:val="18"/>
                <w:szCs w:val="18"/>
                <w:b w:val="1"/>
                <w:bCs w:val="1"/>
                <w:color w:val="auto"/>
                <w:w w:val="89"/>
              </w:rPr>
              <w:t>Commission file number 1-31234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132"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WESTWOOD HOLDINGS GROUP, INC.</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31" w:lineRule="exact"/>
        <w:rPr>
          <w:sz w:val="24"/>
          <w:szCs w:val="24"/>
          <w:color w:val="auto"/>
        </w:rPr>
      </w:pPr>
    </w:p>
    <w:tbl>
      <w:tblPr>
        <w:tblLayout w:type="fixed"/>
        <w:tblInd w:w="420" w:type="dxa"/>
        <w:tblCellMar>
          <w:top w:w="0" w:type="dxa"/>
          <w:left w:w="0" w:type="dxa"/>
          <w:bottom w:w="0" w:type="dxa"/>
          <w:right w:w="0" w:type="dxa"/>
        </w:tblCellMar>
      </w:tblPr>
      <w:tr>
        <w:trPr>
          <w:trHeight w:val="229"/>
        </w:trPr>
        <w:tc>
          <w:tcPr>
            <w:tcW w:w="3560" w:type="dxa"/>
            <w:vAlign w:val="bottom"/>
          </w:tcPr>
          <w:p>
            <w:pPr>
              <w:jc w:val="center"/>
              <w:ind w:right="17"/>
              <w:spacing w:after="0"/>
              <w:rPr>
                <w:sz w:val="20"/>
                <w:szCs w:val="20"/>
                <w:color w:val="auto"/>
              </w:rPr>
            </w:pPr>
            <w:r>
              <w:rPr>
                <w:rFonts w:ascii="Arial" w:cs="Arial" w:eastAsia="Arial" w:hAnsi="Arial"/>
                <w:sz w:val="18"/>
                <w:szCs w:val="18"/>
                <w:b w:val="1"/>
                <w:bCs w:val="1"/>
                <w:color w:val="auto"/>
                <w:w w:val="93"/>
              </w:rPr>
              <w:t>Delaware</w:t>
            </w:r>
          </w:p>
        </w:tc>
        <w:tc>
          <w:tcPr>
            <w:tcW w:w="6100" w:type="dxa"/>
            <w:vAlign w:val="bottom"/>
          </w:tcPr>
          <w:p>
            <w:pPr>
              <w:jc w:val="right"/>
              <w:ind w:right="479"/>
              <w:spacing w:after="0"/>
              <w:rPr>
                <w:sz w:val="20"/>
                <w:szCs w:val="20"/>
                <w:color w:val="auto"/>
              </w:rPr>
            </w:pPr>
            <w:r>
              <w:rPr>
                <w:rFonts w:ascii="Arial" w:cs="Arial" w:eastAsia="Arial" w:hAnsi="Arial"/>
                <w:sz w:val="18"/>
                <w:szCs w:val="18"/>
                <w:b w:val="1"/>
                <w:bCs w:val="1"/>
                <w:color w:val="auto"/>
              </w:rPr>
              <w:t>75-2969997</w:t>
            </w:r>
          </w:p>
        </w:tc>
      </w:tr>
      <w:tr>
        <w:trPr>
          <w:trHeight w:val="182"/>
        </w:trPr>
        <w:tc>
          <w:tcPr>
            <w:tcW w:w="3560" w:type="dxa"/>
            <w:vAlign w:val="bottom"/>
          </w:tcPr>
          <w:p>
            <w:pPr>
              <w:jc w:val="center"/>
              <w:ind w:right="3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6100" w:type="dxa"/>
            <w:vAlign w:val="bottom"/>
          </w:tcPr>
          <w:p>
            <w:pPr>
              <w:jc w:val="center"/>
              <w:ind w:left="4019"/>
              <w:spacing w:after="0"/>
              <w:rPr>
                <w:sz w:val="20"/>
                <w:szCs w:val="20"/>
                <w:color w:val="auto"/>
              </w:rPr>
            </w:pPr>
            <w:r>
              <w:rPr>
                <w:rFonts w:ascii="Arial" w:cs="Arial" w:eastAsia="Arial" w:hAnsi="Arial"/>
                <w:sz w:val="14"/>
                <w:szCs w:val="14"/>
                <w:color w:val="auto"/>
                <w:w w:val="98"/>
              </w:rPr>
              <w:t>(IRS Employer Identification No.)</w:t>
            </w:r>
          </w:p>
        </w:tc>
      </w:tr>
      <w:tr>
        <w:trPr>
          <w:trHeight w:val="453"/>
        </w:trPr>
        <w:tc>
          <w:tcPr>
            <w:tcW w:w="3560" w:type="dxa"/>
            <w:vAlign w:val="bottom"/>
          </w:tcPr>
          <w:p>
            <w:pPr>
              <w:jc w:val="center"/>
              <w:ind w:right="17"/>
              <w:spacing w:after="0"/>
              <w:rPr>
                <w:sz w:val="20"/>
                <w:szCs w:val="20"/>
                <w:color w:val="auto"/>
              </w:rPr>
            </w:pPr>
            <w:r>
              <w:rPr>
                <w:rFonts w:ascii="Arial" w:cs="Arial" w:eastAsia="Arial" w:hAnsi="Arial"/>
                <w:sz w:val="18"/>
                <w:szCs w:val="18"/>
                <w:b w:val="1"/>
                <w:bCs w:val="1"/>
                <w:color w:val="auto"/>
                <w:w w:val="97"/>
              </w:rPr>
              <w:t>200 CRESCENT COURT, SUITE 1200</w:t>
            </w:r>
          </w:p>
        </w:tc>
        <w:tc>
          <w:tcPr>
            <w:tcW w:w="6100" w:type="dxa"/>
            <w:vAlign w:val="bottom"/>
          </w:tcPr>
          <w:p>
            <w:pPr>
              <w:spacing w:after="0"/>
              <w:rPr>
                <w:sz w:val="24"/>
                <w:szCs w:val="24"/>
                <w:color w:val="auto"/>
              </w:rPr>
            </w:pPr>
          </w:p>
        </w:tc>
      </w:tr>
      <w:tr>
        <w:trPr>
          <w:trHeight w:val="229"/>
        </w:trPr>
        <w:tc>
          <w:tcPr>
            <w:tcW w:w="3560" w:type="dxa"/>
            <w:vAlign w:val="bottom"/>
          </w:tcPr>
          <w:p>
            <w:pPr>
              <w:ind w:left="920"/>
              <w:spacing w:after="0"/>
              <w:rPr>
                <w:sz w:val="20"/>
                <w:szCs w:val="20"/>
                <w:color w:val="auto"/>
              </w:rPr>
            </w:pPr>
            <w:r>
              <w:rPr>
                <w:rFonts w:ascii="Arial" w:cs="Arial" w:eastAsia="Arial" w:hAnsi="Arial"/>
                <w:sz w:val="18"/>
                <w:szCs w:val="18"/>
                <w:b w:val="1"/>
                <w:bCs w:val="1"/>
                <w:color w:val="auto"/>
              </w:rPr>
              <w:t>DALLAS, Texas</w:t>
            </w:r>
          </w:p>
        </w:tc>
        <w:tc>
          <w:tcPr>
            <w:tcW w:w="6100" w:type="dxa"/>
            <w:vAlign w:val="bottom"/>
          </w:tcPr>
          <w:p>
            <w:pPr>
              <w:jc w:val="right"/>
              <w:ind w:right="699"/>
              <w:spacing w:after="0"/>
              <w:rPr>
                <w:sz w:val="20"/>
                <w:szCs w:val="20"/>
                <w:color w:val="auto"/>
              </w:rPr>
            </w:pPr>
            <w:r>
              <w:rPr>
                <w:rFonts w:ascii="Arial" w:cs="Arial" w:eastAsia="Arial" w:hAnsi="Arial"/>
                <w:sz w:val="18"/>
                <w:szCs w:val="18"/>
                <w:b w:val="1"/>
                <w:bCs w:val="1"/>
                <w:color w:val="auto"/>
              </w:rPr>
              <w:t>75201</w:t>
            </w:r>
          </w:p>
        </w:tc>
      </w:tr>
      <w:tr>
        <w:trPr>
          <w:trHeight w:val="182"/>
        </w:trPr>
        <w:tc>
          <w:tcPr>
            <w:tcW w:w="3560" w:type="dxa"/>
            <w:vAlign w:val="bottom"/>
          </w:tcPr>
          <w:p>
            <w:pPr>
              <w:jc w:val="center"/>
              <w:ind w:right="17"/>
              <w:spacing w:after="0"/>
              <w:rPr>
                <w:sz w:val="20"/>
                <w:szCs w:val="20"/>
                <w:color w:val="auto"/>
              </w:rPr>
            </w:pPr>
            <w:r>
              <w:rPr>
                <w:rFonts w:ascii="Arial" w:cs="Arial" w:eastAsia="Arial" w:hAnsi="Arial"/>
                <w:sz w:val="14"/>
                <w:szCs w:val="14"/>
                <w:color w:val="auto"/>
                <w:w w:val="95"/>
              </w:rPr>
              <w:t>(Address of principal executive office)</w:t>
            </w:r>
          </w:p>
        </w:tc>
        <w:tc>
          <w:tcPr>
            <w:tcW w:w="6100" w:type="dxa"/>
            <w:vAlign w:val="bottom"/>
          </w:tcPr>
          <w:p>
            <w:pPr>
              <w:jc w:val="center"/>
              <w:ind w:left="4019"/>
              <w:spacing w:after="0"/>
              <w:rPr>
                <w:sz w:val="20"/>
                <w:szCs w:val="20"/>
                <w:color w:val="auto"/>
              </w:rPr>
            </w:pPr>
            <w:r>
              <w:rPr>
                <w:rFonts w:ascii="Arial" w:cs="Arial" w:eastAsia="Arial" w:hAnsi="Arial"/>
                <w:sz w:val="14"/>
                <w:szCs w:val="14"/>
                <w:color w:val="auto"/>
                <w:w w:val="96"/>
              </w:rPr>
              <w:t>(Zip Code)</w:t>
            </w:r>
          </w:p>
        </w:tc>
      </w:tr>
      <w:tr>
        <w:trPr>
          <w:trHeight w:val="371"/>
        </w:trPr>
        <w:tc>
          <w:tcPr>
            <w:tcW w:w="3560" w:type="dxa"/>
            <w:vAlign w:val="bottom"/>
          </w:tcPr>
          <w:p>
            <w:pPr>
              <w:spacing w:after="0"/>
              <w:rPr>
                <w:sz w:val="24"/>
                <w:szCs w:val="24"/>
                <w:color w:val="auto"/>
              </w:rPr>
            </w:pPr>
          </w:p>
        </w:tc>
        <w:tc>
          <w:tcPr>
            <w:tcW w:w="6100" w:type="dxa"/>
            <w:vAlign w:val="bottom"/>
          </w:tcPr>
          <w:p>
            <w:pPr>
              <w:jc w:val="right"/>
              <w:ind w:right="3819"/>
              <w:spacing w:after="0"/>
              <w:rPr>
                <w:sz w:val="20"/>
                <w:szCs w:val="20"/>
                <w:color w:val="auto"/>
              </w:rPr>
            </w:pPr>
            <w:r>
              <w:rPr>
                <w:rFonts w:ascii="Arial" w:cs="Arial" w:eastAsia="Arial" w:hAnsi="Arial"/>
                <w:sz w:val="18"/>
                <w:szCs w:val="18"/>
                <w:b w:val="1"/>
                <w:bCs w:val="1"/>
                <w:color w:val="auto"/>
              </w:rPr>
              <w:t>(214) 756-6900</w:t>
            </w:r>
          </w:p>
        </w:tc>
      </w:tr>
      <w:tr>
        <w:trPr>
          <w:trHeight w:val="182"/>
        </w:trPr>
        <w:tc>
          <w:tcPr>
            <w:tcW w:w="3560" w:type="dxa"/>
            <w:vAlign w:val="bottom"/>
          </w:tcPr>
          <w:p>
            <w:pPr>
              <w:spacing w:after="0"/>
              <w:rPr>
                <w:sz w:val="15"/>
                <w:szCs w:val="15"/>
                <w:color w:val="auto"/>
              </w:rPr>
            </w:pPr>
          </w:p>
        </w:tc>
        <w:tc>
          <w:tcPr>
            <w:tcW w:w="6100" w:type="dxa"/>
            <w:vAlign w:val="bottom"/>
          </w:tcPr>
          <w:p>
            <w:pPr>
              <w:jc w:val="center"/>
              <w:ind w:right="2739"/>
              <w:spacing w:after="0"/>
              <w:rPr>
                <w:sz w:val="20"/>
                <w:szCs w:val="20"/>
                <w:color w:val="auto"/>
              </w:rPr>
            </w:pPr>
            <w:r>
              <w:rPr>
                <w:rFonts w:ascii="Arial" w:cs="Arial" w:eastAsia="Arial" w:hAnsi="Arial"/>
                <w:sz w:val="14"/>
                <w:szCs w:val="14"/>
                <w:color w:val="auto"/>
                <w:w w:val="92"/>
              </w:rPr>
              <w:t>(Registrant’s telephone number, including area code)</w:t>
            </w:r>
          </w:p>
        </w:tc>
      </w:tr>
    </w:tbl>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9" w:lineRule="exact"/>
        <w:rPr>
          <w:sz w:val="24"/>
          <w:szCs w:val="24"/>
          <w:color w:val="auto"/>
        </w:rPr>
      </w:pPr>
    </w:p>
    <w:tbl>
      <w:tblPr>
        <w:tblLayout w:type="fixed"/>
        <w:tblInd w:w="86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40" w:type="dxa"/>
            <w:vAlign w:val="bottom"/>
            <w:gridSpan w:val="3"/>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88"/>
        </w:trPr>
        <w:tc>
          <w:tcPr>
            <w:tcW w:w="6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Title of Each Class</w:t>
            </w: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11"/>
        </w:trPr>
        <w:tc>
          <w:tcPr>
            <w:tcW w:w="2760" w:type="dxa"/>
            <w:vAlign w:val="bottom"/>
            <w:gridSpan w:val="3"/>
          </w:tcPr>
          <w:p>
            <w:pPr>
              <w:jc w:val="center"/>
              <w:ind w:right="360"/>
              <w:spacing w:after="0"/>
              <w:rPr>
                <w:sz w:val="20"/>
                <w:szCs w:val="20"/>
                <w:color w:val="auto"/>
              </w:rPr>
            </w:pPr>
            <w:r>
              <w:rPr>
                <w:rFonts w:ascii="Arial" w:cs="Arial" w:eastAsia="Arial" w:hAnsi="Arial"/>
                <w:sz w:val="14"/>
                <w:szCs w:val="14"/>
                <w:color w:val="auto"/>
                <w:w w:val="92"/>
              </w:rPr>
              <w:t>Common stock, par value $0.01 per share</w:t>
            </w:r>
          </w:p>
        </w:tc>
        <w:tc>
          <w:tcPr>
            <w:tcW w:w="1520" w:type="dxa"/>
            <w:vAlign w:val="bottom"/>
          </w:tcPr>
          <w:p>
            <w:pPr>
              <w:spacing w:after="0"/>
              <w:rPr>
                <w:sz w:val="18"/>
                <w:szCs w:val="18"/>
                <w:color w:val="auto"/>
              </w:rPr>
            </w:pPr>
          </w:p>
        </w:tc>
        <w:tc>
          <w:tcPr>
            <w:tcW w:w="2420" w:type="dxa"/>
            <w:vAlign w:val="bottom"/>
            <w:gridSpan w:val="2"/>
          </w:tcPr>
          <w:p>
            <w:pPr>
              <w:ind w:left="300"/>
              <w:spacing w:after="0"/>
              <w:rPr>
                <w:sz w:val="20"/>
                <w:szCs w:val="20"/>
                <w:color w:val="auto"/>
              </w:rPr>
            </w:pPr>
            <w:r>
              <w:rPr>
                <w:rFonts w:ascii="Arial" w:cs="Arial" w:eastAsia="Arial" w:hAnsi="Arial"/>
                <w:sz w:val="14"/>
                <w:szCs w:val="14"/>
                <w:color w:val="auto"/>
              </w:rPr>
              <w:t>WHG</w:t>
            </w:r>
          </w:p>
        </w:tc>
        <w:tc>
          <w:tcPr>
            <w:tcW w:w="2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155" w:lineRule="exact"/>
        <w:rPr>
          <w:sz w:val="24"/>
          <w:szCs w:val="24"/>
          <w:color w:val="auto"/>
        </w:rPr>
      </w:pPr>
    </w:p>
    <w:p>
      <w:pPr>
        <w:ind w:right="120"/>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 w:lineRule="exact"/>
        <w:rPr>
          <w:sz w:val="24"/>
          <w:szCs w:val="24"/>
          <w:color w:val="auto"/>
        </w:rPr>
      </w:pPr>
    </w:p>
    <w:p>
      <w:pPr>
        <w:spacing w:after="0" w:line="19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60"/>
        <w:spacing w:after="0" w:line="27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6"/>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8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960" w:type="dxa"/>
            <w:vAlign w:val="bottom"/>
          </w:tcPr>
          <w:p>
            <w:pPr>
              <w:ind w:left="264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4" w:lineRule="exact"/>
        <w:rPr>
          <w:sz w:val="24"/>
          <w:szCs w:val="24"/>
          <w:color w:val="auto"/>
        </w:rPr>
      </w:pPr>
    </w:p>
    <w:p>
      <w:pPr>
        <w:ind w:right="420"/>
        <w:spacing w:after="0" w:line="19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right="3620"/>
        <w:spacing w:after="0" w:line="22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Shares of common stock, par value $0.01 per share, outstanding as of October 24, 2023: 9,145,663.</w:t>
      </w:r>
    </w:p>
    <w:p>
      <w:pPr>
        <w:ind w:left="158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62"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40" w:type="dxa"/>
            <w:vAlign w:val="bottom"/>
            <w:gridSpan w:val="3"/>
          </w:tcPr>
          <w:p>
            <w:pPr>
              <w:ind w:left="60"/>
              <w:spacing w:after="0"/>
              <w:rPr>
                <w:sz w:val="20"/>
                <w:szCs w:val="20"/>
                <w:color w:val="auto"/>
              </w:rPr>
            </w:pPr>
            <w:r>
              <w:rPr>
                <w:rFonts w:ascii="Arial" w:cs="Arial" w:eastAsia="Arial" w:hAnsi="Arial"/>
                <w:sz w:val="16"/>
                <w:szCs w:val="16"/>
                <w:color w:val="auto"/>
              </w:rPr>
              <w:t>PART I</w:t>
            </w:r>
          </w:p>
        </w:tc>
        <w:tc>
          <w:tcPr>
            <w:tcW w:w="9260" w:type="dxa"/>
            <w:vAlign w:val="bottom"/>
            <w:gridSpan w:val="14"/>
          </w:tcPr>
          <w:p>
            <w:pPr>
              <w:spacing w:after="0"/>
              <w:rPr>
                <w:sz w:val="20"/>
                <w:szCs w:val="20"/>
                <w:color w:val="auto"/>
              </w:rPr>
            </w:pPr>
            <w:r>
              <w:rPr>
                <w:rFonts w:ascii="Arial" w:cs="Arial" w:eastAsia="Arial" w:hAnsi="Arial"/>
                <w:sz w:val="16"/>
                <w:szCs w:val="16"/>
                <w:color w:val="auto"/>
              </w:rPr>
              <w:t>FINANCIAL INFORMATION</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PAGE</w:t>
            </w:r>
          </w:p>
        </w:tc>
      </w:tr>
      <w:tr>
        <w:trPr>
          <w:trHeight w:val="324"/>
        </w:trPr>
        <w:tc>
          <w:tcPr>
            <w:tcW w:w="1140" w:type="dxa"/>
            <w:vAlign w:val="bottom"/>
            <w:gridSpan w:val="3"/>
          </w:tcPr>
          <w:p>
            <w:pPr>
              <w:ind w:left="60"/>
              <w:spacing w:after="0"/>
              <w:rPr>
                <w:sz w:val="20"/>
                <w:szCs w:val="20"/>
                <w:color w:val="auto"/>
              </w:rPr>
            </w:pPr>
            <w:r>
              <w:rPr>
                <w:rFonts w:ascii="Arial" w:cs="Arial" w:eastAsia="Arial" w:hAnsi="Arial"/>
                <w:sz w:val="16"/>
                <w:szCs w:val="16"/>
                <w:color w:val="auto"/>
              </w:rPr>
              <w:t>Item 1.</w:t>
            </w:r>
          </w:p>
        </w:tc>
        <w:tc>
          <w:tcPr>
            <w:tcW w:w="9260" w:type="dxa"/>
            <w:vAlign w:val="bottom"/>
            <w:gridSpan w:val="14"/>
          </w:tcPr>
          <w:p>
            <w:pPr>
              <w:spacing w:after="0"/>
              <w:rPr>
                <w:sz w:val="20"/>
                <w:szCs w:val="20"/>
                <w:color w:val="auto"/>
              </w:rPr>
            </w:pPr>
            <w:r>
              <w:rPr>
                <w:rFonts w:ascii="Arial" w:cs="Arial" w:eastAsia="Arial" w:hAnsi="Arial"/>
                <w:sz w:val="16"/>
                <w:szCs w:val="16"/>
                <w:color w:val="auto"/>
              </w:rPr>
              <w:t>Financial Statements</w:t>
            </w:r>
          </w:p>
        </w:tc>
        <w:tc>
          <w:tcPr>
            <w:tcW w:w="840" w:type="dxa"/>
            <w:vAlign w:val="bottom"/>
          </w:tcPr>
          <w:p>
            <w:pPr>
              <w:spacing w:after="0"/>
              <w:rPr>
                <w:sz w:val="24"/>
                <w:szCs w:val="24"/>
                <w:color w:val="auto"/>
              </w:rPr>
            </w:pPr>
          </w:p>
        </w:tc>
      </w:tr>
      <w:tr>
        <w:trPr>
          <w:trHeight w:val="289"/>
        </w:trPr>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89"/>
              </w:rPr>
              <w:t>Condensed Consolidated Balance Sheets as of September 30, 2023 and December 31, 2022</w:t>
            </w:r>
          </w:p>
        </w:tc>
        <w:tc>
          <w:tcPr>
            <w:tcW w:w="334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0000FF"/>
              </w:rPr>
              <w:t>1</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6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w w:val="90"/>
              </w:rPr>
              <w:t>Condensed Consolidated Statements of Comprehensive Income (Loss) for the Three and Nine Months Ended September 30, 2023 and 2022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0000FF"/>
              </w:rPr>
              <w:t>2</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4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1"/>
              </w:rPr>
              <w:t>Condensed Consolidated Statements of Stockholders’ Equity for the Three and Nine Months Ended September 30, 2023 and 2022</w:t>
            </w:r>
          </w:p>
        </w:tc>
        <w:tc>
          <w:tcPr>
            <w:tcW w:w="820" w:type="dxa"/>
            <w:vAlign w:val="bottom"/>
            <w:gridSpan w:val="2"/>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0000FF"/>
              </w:rPr>
              <w:t>3</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60" w:type="dxa"/>
            <w:vAlign w:val="bottom"/>
            <w:gridSpan w:val="14"/>
          </w:tcPr>
          <w:p>
            <w:pPr>
              <w:spacing w:after="0"/>
              <w:rPr>
                <w:sz w:val="20"/>
                <w:szCs w:val="20"/>
                <w:color w:val="auto"/>
              </w:rPr>
            </w:pPr>
            <w:r>
              <w:rPr>
                <w:rFonts w:ascii="Arial" w:cs="Arial" w:eastAsia="Arial" w:hAnsi="Arial"/>
                <w:sz w:val="16"/>
                <w:szCs w:val="16"/>
                <w:color w:val="0000FF"/>
              </w:rPr>
              <w:t>Condensed Consolidated Statements of Cash Flows for the Nine Months Ended September 30, 2023 and 2022</w:t>
            </w:r>
          </w:p>
        </w:tc>
        <w:tc>
          <w:tcPr>
            <w:tcW w:w="840" w:type="dxa"/>
            <w:vAlign w:val="bottom"/>
          </w:tcPr>
          <w:p>
            <w:pPr>
              <w:jc w:val="right"/>
              <w:spacing w:after="0"/>
              <w:rPr>
                <w:sz w:val="20"/>
                <w:szCs w:val="20"/>
                <w:color w:val="auto"/>
              </w:rPr>
            </w:pPr>
            <w:r>
              <w:rPr>
                <w:rFonts w:ascii="Arial" w:cs="Arial" w:eastAsia="Arial" w:hAnsi="Arial"/>
                <w:sz w:val="16"/>
                <w:szCs w:val="16"/>
                <w:color w:val="0000FF"/>
              </w:rPr>
              <w:t>5</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120" w:type="dxa"/>
            <w:vAlign w:val="bottom"/>
            <w:tcBorders>
              <w:top w:val="single" w:sz="8" w:color="0000FF"/>
            </w:tcBorders>
            <w:gridSpan w:val="11"/>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2140" w:type="dxa"/>
            <w:vAlign w:val="bottom"/>
            <w:gridSpan w:val="3"/>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0000FF"/>
              </w:rPr>
              <w:t>6</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0"/>
        </w:trPr>
        <w:tc>
          <w:tcPr>
            <w:tcW w:w="1140" w:type="dxa"/>
            <w:vAlign w:val="bottom"/>
            <w:gridSpan w:val="3"/>
          </w:tcPr>
          <w:p>
            <w:pPr>
              <w:ind w:left="60"/>
              <w:spacing w:after="0"/>
              <w:rPr>
                <w:sz w:val="20"/>
                <w:szCs w:val="20"/>
                <w:color w:val="auto"/>
              </w:rPr>
            </w:pPr>
            <w:r>
              <w:rPr>
                <w:rFonts w:ascii="Arial" w:cs="Arial" w:eastAsia="Arial" w:hAnsi="Arial"/>
                <w:sz w:val="16"/>
                <w:szCs w:val="16"/>
                <w:color w:val="auto"/>
              </w:rPr>
              <w:t>Item 2.</w:t>
            </w:r>
          </w:p>
        </w:tc>
        <w:tc>
          <w:tcPr>
            <w:tcW w:w="9260" w:type="dxa"/>
            <w:vAlign w:val="bottom"/>
            <w:gridSpan w:val="14"/>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840" w:type="dxa"/>
            <w:vAlign w:val="bottom"/>
          </w:tcPr>
          <w:p>
            <w:pPr>
              <w:jc w:val="right"/>
              <w:spacing w:after="0"/>
              <w:rPr>
                <w:sz w:val="20"/>
                <w:szCs w:val="20"/>
                <w:color w:val="auto"/>
              </w:rPr>
            </w:pPr>
            <w:r>
              <w:rPr>
                <w:rFonts w:ascii="Arial" w:cs="Arial" w:eastAsia="Arial" w:hAnsi="Arial"/>
                <w:sz w:val="16"/>
                <w:szCs w:val="16"/>
                <w:color w:val="0000FF"/>
              </w:rPr>
              <w:t>17</w:t>
            </w:r>
          </w:p>
        </w:tc>
      </w:tr>
      <w:tr>
        <w:trPr>
          <w:trHeight w:val="250"/>
        </w:trPr>
        <w:tc>
          <w:tcPr>
            <w:tcW w:w="1140" w:type="dxa"/>
            <w:vAlign w:val="bottom"/>
            <w:gridSpan w:val="3"/>
          </w:tcPr>
          <w:p>
            <w:pPr>
              <w:ind w:left="60"/>
              <w:spacing w:after="0"/>
              <w:rPr>
                <w:sz w:val="20"/>
                <w:szCs w:val="20"/>
                <w:color w:val="auto"/>
              </w:rPr>
            </w:pPr>
            <w:r>
              <w:rPr>
                <w:rFonts w:ascii="Arial" w:cs="Arial" w:eastAsia="Arial" w:hAnsi="Arial"/>
                <w:sz w:val="16"/>
                <w:szCs w:val="16"/>
                <w:color w:val="auto"/>
              </w:rPr>
              <w:t>Item 3.</w:t>
            </w:r>
          </w:p>
        </w:tc>
        <w:tc>
          <w:tcPr>
            <w:tcW w:w="39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6"/>
                <w:szCs w:val="16"/>
                <w:color w:val="0000FF"/>
                <w:w w:val="93"/>
              </w:rPr>
              <w:t>Quantitative and Qualitative Disclosures About Market Risk</w:t>
            </w:r>
          </w:p>
        </w:tc>
        <w:tc>
          <w:tcPr>
            <w:tcW w:w="1880" w:type="dxa"/>
            <w:vAlign w:val="bottom"/>
            <w:tcBorders>
              <w:top w:val="single" w:sz="8" w:color="0000FF"/>
            </w:tcBorders>
          </w:tcPr>
          <w:p>
            <w:pPr>
              <w:spacing w:after="0"/>
              <w:rPr>
                <w:sz w:val="21"/>
                <w:szCs w:val="21"/>
                <w:color w:val="auto"/>
              </w:rPr>
            </w:pPr>
          </w:p>
        </w:tc>
        <w:tc>
          <w:tcPr>
            <w:tcW w:w="3460" w:type="dxa"/>
            <w:vAlign w:val="bottom"/>
            <w:gridSpan w:val="5"/>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0000FF"/>
              </w:rPr>
              <w:t>26</w:t>
            </w:r>
          </w:p>
        </w:tc>
      </w:tr>
      <w:tr>
        <w:trPr>
          <w:trHeight w:val="250"/>
        </w:trPr>
        <w:tc>
          <w:tcPr>
            <w:tcW w:w="1140" w:type="dxa"/>
            <w:vAlign w:val="bottom"/>
            <w:gridSpan w:val="3"/>
          </w:tcPr>
          <w:p>
            <w:pPr>
              <w:ind w:left="60"/>
              <w:spacing w:after="0"/>
              <w:rPr>
                <w:sz w:val="20"/>
                <w:szCs w:val="20"/>
                <w:color w:val="auto"/>
              </w:rPr>
            </w:pPr>
            <w:r>
              <w:rPr>
                <w:rFonts w:ascii="Arial" w:cs="Arial" w:eastAsia="Arial" w:hAnsi="Arial"/>
                <w:sz w:val="16"/>
                <w:szCs w:val="16"/>
                <w:color w:val="auto"/>
              </w:rPr>
              <w:t>Item 4.</w:t>
            </w:r>
          </w:p>
        </w:tc>
        <w:tc>
          <w:tcPr>
            <w:tcW w:w="9260" w:type="dxa"/>
            <w:vAlign w:val="bottom"/>
            <w:gridSpan w:val="14"/>
          </w:tcPr>
          <w:p>
            <w:pPr>
              <w:spacing w:after="0"/>
              <w:rPr>
                <w:sz w:val="20"/>
                <w:szCs w:val="20"/>
                <w:color w:val="auto"/>
              </w:rPr>
            </w:pPr>
            <w:r>
              <w:rPr>
                <w:rFonts w:ascii="Arial" w:cs="Arial" w:eastAsia="Arial" w:hAnsi="Arial"/>
                <w:sz w:val="16"/>
                <w:szCs w:val="16"/>
                <w:color w:val="0000FF"/>
              </w:rPr>
              <w:t>Controls and Procedures</w:t>
            </w:r>
          </w:p>
        </w:tc>
        <w:tc>
          <w:tcPr>
            <w:tcW w:w="840" w:type="dxa"/>
            <w:vAlign w:val="bottom"/>
          </w:tcPr>
          <w:p>
            <w:pPr>
              <w:jc w:val="right"/>
              <w:spacing w:after="0"/>
              <w:rPr>
                <w:sz w:val="20"/>
                <w:szCs w:val="20"/>
                <w:color w:val="auto"/>
              </w:rPr>
            </w:pPr>
            <w:r>
              <w:rPr>
                <w:rFonts w:ascii="Arial" w:cs="Arial" w:eastAsia="Arial" w:hAnsi="Arial"/>
                <w:sz w:val="16"/>
                <w:szCs w:val="16"/>
                <w:color w:val="0000FF"/>
              </w:rPr>
              <w:t>26</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0"/>
        </w:trPr>
        <w:tc>
          <w:tcPr>
            <w:tcW w:w="1140" w:type="dxa"/>
            <w:vAlign w:val="bottom"/>
            <w:gridSpan w:val="3"/>
          </w:tcPr>
          <w:p>
            <w:pPr>
              <w:ind w:left="60"/>
              <w:spacing w:after="0"/>
              <w:rPr>
                <w:sz w:val="20"/>
                <w:szCs w:val="20"/>
                <w:color w:val="auto"/>
              </w:rPr>
            </w:pPr>
            <w:r>
              <w:rPr>
                <w:rFonts w:ascii="Arial" w:cs="Arial" w:eastAsia="Arial" w:hAnsi="Arial"/>
                <w:sz w:val="16"/>
                <w:szCs w:val="16"/>
                <w:color w:val="auto"/>
              </w:rPr>
              <w:t>PART II</w:t>
            </w:r>
          </w:p>
        </w:tc>
        <w:tc>
          <w:tcPr>
            <w:tcW w:w="9260" w:type="dxa"/>
            <w:vAlign w:val="bottom"/>
            <w:gridSpan w:val="14"/>
          </w:tcPr>
          <w:p>
            <w:pPr>
              <w:spacing w:after="0"/>
              <w:rPr>
                <w:sz w:val="20"/>
                <w:szCs w:val="20"/>
                <w:color w:val="auto"/>
              </w:rPr>
            </w:pPr>
            <w:r>
              <w:rPr>
                <w:rFonts w:ascii="Arial" w:cs="Arial" w:eastAsia="Arial" w:hAnsi="Arial"/>
                <w:sz w:val="16"/>
                <w:szCs w:val="16"/>
                <w:color w:val="0000FF"/>
              </w:rPr>
              <w:t>OTHER INFORMATION</w:t>
            </w:r>
          </w:p>
        </w:tc>
        <w:tc>
          <w:tcPr>
            <w:tcW w:w="840" w:type="dxa"/>
            <w:vAlign w:val="bottom"/>
          </w:tcPr>
          <w:p>
            <w:pPr>
              <w:jc w:val="right"/>
              <w:spacing w:after="0"/>
              <w:rPr>
                <w:sz w:val="20"/>
                <w:szCs w:val="20"/>
                <w:color w:val="auto"/>
              </w:rPr>
            </w:pPr>
            <w:r>
              <w:rPr>
                <w:rFonts w:ascii="Arial" w:cs="Arial" w:eastAsia="Arial" w:hAnsi="Arial"/>
                <w:sz w:val="16"/>
                <w:szCs w:val="16"/>
                <w:color w:val="0000FF"/>
              </w:rPr>
              <w:t>28</w:t>
            </w:r>
          </w:p>
        </w:tc>
      </w:tr>
      <w:tr>
        <w:trPr>
          <w:trHeight w:val="250"/>
        </w:trPr>
        <w:tc>
          <w:tcPr>
            <w:tcW w:w="1140" w:type="dxa"/>
            <w:vAlign w:val="bottom"/>
            <w:gridSpan w:val="3"/>
          </w:tcPr>
          <w:p>
            <w:pPr>
              <w:ind w:left="60"/>
              <w:spacing w:after="0"/>
              <w:rPr>
                <w:sz w:val="20"/>
                <w:szCs w:val="20"/>
                <w:color w:val="auto"/>
              </w:rPr>
            </w:pPr>
            <w:r>
              <w:rPr>
                <w:rFonts w:ascii="Arial" w:cs="Arial" w:eastAsia="Arial" w:hAnsi="Arial"/>
                <w:sz w:val="16"/>
                <w:szCs w:val="16"/>
                <w:color w:val="auto"/>
              </w:rPr>
              <w:t>Item 1.</w:t>
            </w:r>
          </w:p>
        </w:tc>
        <w:tc>
          <w:tcPr>
            <w:tcW w:w="12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89"/>
              </w:rPr>
              <w:t>Legal Proceedings</w:t>
            </w:r>
          </w:p>
        </w:tc>
        <w:tc>
          <w:tcPr>
            <w:tcW w:w="480" w:type="dxa"/>
            <w:vAlign w:val="bottom"/>
            <w:tcBorders>
              <w:top w:val="single" w:sz="8" w:color="0000FF"/>
            </w:tcBorders>
            <w:gridSpan w:val="2"/>
          </w:tcPr>
          <w:p>
            <w:pPr>
              <w:spacing w:after="0"/>
              <w:rPr>
                <w:sz w:val="21"/>
                <w:szCs w:val="21"/>
                <w:color w:val="auto"/>
              </w:rPr>
            </w:pPr>
          </w:p>
        </w:tc>
        <w:tc>
          <w:tcPr>
            <w:tcW w:w="7580" w:type="dxa"/>
            <w:vAlign w:val="bottom"/>
            <w:gridSpan w:val="9"/>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0000FF"/>
              </w:rPr>
              <w:t>28</w:t>
            </w:r>
          </w:p>
        </w:tc>
      </w:tr>
      <w:tr>
        <w:trPr>
          <w:trHeight w:val="250"/>
        </w:trPr>
        <w:tc>
          <w:tcPr>
            <w:tcW w:w="1140" w:type="dxa"/>
            <w:vAlign w:val="bottom"/>
            <w:gridSpan w:val="3"/>
          </w:tcPr>
          <w:p>
            <w:pPr>
              <w:ind w:left="60"/>
              <w:spacing w:after="0"/>
              <w:rPr>
                <w:sz w:val="20"/>
                <w:szCs w:val="20"/>
                <w:color w:val="auto"/>
              </w:rPr>
            </w:pPr>
            <w:r>
              <w:rPr>
                <w:rFonts w:ascii="Arial" w:cs="Arial" w:eastAsia="Arial" w:hAnsi="Arial"/>
                <w:sz w:val="16"/>
                <w:szCs w:val="16"/>
                <w:color w:val="auto"/>
              </w:rPr>
              <w:t>Item 1A.</w:t>
            </w:r>
          </w:p>
        </w:tc>
        <w:tc>
          <w:tcPr>
            <w:tcW w:w="9260" w:type="dxa"/>
            <w:vAlign w:val="bottom"/>
            <w:gridSpan w:val="14"/>
          </w:tcPr>
          <w:p>
            <w:pPr>
              <w:spacing w:after="0"/>
              <w:rPr>
                <w:sz w:val="20"/>
                <w:szCs w:val="20"/>
                <w:color w:val="auto"/>
              </w:rPr>
            </w:pPr>
            <w:r>
              <w:rPr>
                <w:rFonts w:ascii="Arial" w:cs="Arial" w:eastAsia="Arial" w:hAnsi="Arial"/>
                <w:sz w:val="16"/>
                <w:szCs w:val="16"/>
                <w:color w:val="0000FF"/>
              </w:rPr>
              <w:t>Risk Factors</w:t>
            </w:r>
          </w:p>
        </w:tc>
        <w:tc>
          <w:tcPr>
            <w:tcW w:w="840" w:type="dxa"/>
            <w:vAlign w:val="bottom"/>
          </w:tcPr>
          <w:p>
            <w:pPr>
              <w:jc w:val="right"/>
              <w:spacing w:after="0"/>
              <w:rPr>
                <w:sz w:val="20"/>
                <w:szCs w:val="20"/>
                <w:color w:val="auto"/>
              </w:rPr>
            </w:pPr>
            <w:r>
              <w:rPr>
                <w:rFonts w:ascii="Arial" w:cs="Arial" w:eastAsia="Arial" w:hAnsi="Arial"/>
                <w:sz w:val="16"/>
                <w:szCs w:val="16"/>
                <w:color w:val="0000FF"/>
              </w:rPr>
              <w:t>28</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0"/>
        </w:trPr>
        <w:tc>
          <w:tcPr>
            <w:tcW w:w="1140" w:type="dxa"/>
            <w:vAlign w:val="bottom"/>
            <w:gridSpan w:val="3"/>
          </w:tcPr>
          <w:p>
            <w:pPr>
              <w:ind w:left="60"/>
              <w:spacing w:after="0"/>
              <w:rPr>
                <w:sz w:val="20"/>
                <w:szCs w:val="20"/>
                <w:color w:val="auto"/>
              </w:rPr>
            </w:pPr>
            <w:r>
              <w:rPr>
                <w:rFonts w:ascii="Arial" w:cs="Arial" w:eastAsia="Arial" w:hAnsi="Arial"/>
                <w:sz w:val="16"/>
                <w:szCs w:val="16"/>
                <w:color w:val="auto"/>
              </w:rPr>
              <w:t>Item 2.</w:t>
            </w:r>
          </w:p>
        </w:tc>
        <w:tc>
          <w:tcPr>
            <w:tcW w:w="9260" w:type="dxa"/>
            <w:vAlign w:val="bottom"/>
            <w:gridSpan w:val="14"/>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840" w:type="dxa"/>
            <w:vAlign w:val="bottom"/>
          </w:tcPr>
          <w:p>
            <w:pPr>
              <w:jc w:val="right"/>
              <w:spacing w:after="0"/>
              <w:rPr>
                <w:sz w:val="20"/>
                <w:szCs w:val="20"/>
                <w:color w:val="auto"/>
              </w:rPr>
            </w:pPr>
            <w:r>
              <w:rPr>
                <w:rFonts w:ascii="Arial" w:cs="Arial" w:eastAsia="Arial" w:hAnsi="Arial"/>
                <w:sz w:val="16"/>
                <w:szCs w:val="16"/>
                <w:color w:val="0000FF"/>
              </w:rPr>
              <w:t>28</w:t>
            </w:r>
          </w:p>
        </w:tc>
      </w:tr>
      <w:tr>
        <w:trPr>
          <w:trHeight w:val="250"/>
        </w:trPr>
        <w:tc>
          <w:tcPr>
            <w:tcW w:w="1140" w:type="dxa"/>
            <w:vAlign w:val="bottom"/>
            <w:gridSpan w:val="3"/>
          </w:tcPr>
          <w:p>
            <w:pPr>
              <w:ind w:left="60"/>
              <w:spacing w:after="0"/>
              <w:rPr>
                <w:sz w:val="20"/>
                <w:szCs w:val="20"/>
                <w:color w:val="auto"/>
              </w:rPr>
            </w:pPr>
            <w:r>
              <w:rPr>
                <w:rFonts w:ascii="Arial" w:cs="Arial" w:eastAsia="Arial" w:hAnsi="Arial"/>
                <w:sz w:val="16"/>
                <w:szCs w:val="16"/>
                <w:color w:val="auto"/>
              </w:rPr>
              <w:t>Item 6.</w:t>
            </w:r>
          </w:p>
        </w:tc>
        <w:tc>
          <w:tcPr>
            <w:tcW w:w="390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0000FF"/>
              </w:rPr>
              <w:t>Exhibits</w:t>
            </w:r>
          </w:p>
        </w:tc>
        <w:tc>
          <w:tcPr>
            <w:tcW w:w="5360" w:type="dxa"/>
            <w:vAlign w:val="bottom"/>
            <w:gridSpan w:val="7"/>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0000FF"/>
              </w:rPr>
              <w:t>29</w:t>
            </w:r>
          </w:p>
        </w:tc>
      </w:tr>
      <w:tr>
        <w:trPr>
          <w:trHeight w:val="250"/>
        </w:trPr>
        <w:tc>
          <w:tcPr>
            <w:tcW w:w="1140" w:type="dxa"/>
            <w:vAlign w:val="bottom"/>
            <w:gridSpan w:val="3"/>
          </w:tcPr>
          <w:p>
            <w:pPr>
              <w:ind w:left="60"/>
              <w:spacing w:after="0"/>
              <w:rPr>
                <w:sz w:val="20"/>
                <w:szCs w:val="20"/>
                <w:color w:val="auto"/>
              </w:rPr>
            </w:pPr>
            <w:r>
              <w:rPr>
                <w:rFonts w:ascii="Arial" w:cs="Arial" w:eastAsia="Arial" w:hAnsi="Arial"/>
                <w:sz w:val="16"/>
                <w:szCs w:val="16"/>
                <w:color w:val="0000FF"/>
              </w:rPr>
              <w:t>Signatures</w:t>
            </w:r>
          </w:p>
        </w:tc>
        <w:tc>
          <w:tcPr>
            <w:tcW w:w="54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0000FF"/>
              </w:rPr>
              <w:t>30</w:t>
            </w:r>
          </w:p>
        </w:tc>
      </w:tr>
      <w:tr>
        <w:trPr>
          <w:trHeight w:val="2943"/>
        </w:trPr>
        <w:tc>
          <w:tcPr>
            <w:tcW w:w="6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ind w:left="140"/>
              <w:spacing w:after="0"/>
              <w:rPr>
                <w:sz w:val="20"/>
                <w:szCs w:val="20"/>
                <w:color w:val="auto"/>
              </w:rPr>
            </w:pPr>
            <w:r>
              <w:rPr>
                <w:rFonts w:ascii="Arial" w:cs="Arial" w:eastAsia="Arial" w:hAnsi="Arial"/>
                <w:sz w:val="15"/>
                <w:szCs w:val="15"/>
                <w:b w:val="1"/>
                <w:bCs w:val="1"/>
                <w:color w:val="auto"/>
              </w:rPr>
              <w:t>September 30, 2023</w:t>
            </w:r>
          </w:p>
        </w:tc>
        <w:tc>
          <w:tcPr>
            <w:tcW w:w="240" w:type="dxa"/>
            <w:vAlign w:val="bottom"/>
          </w:tcPr>
          <w:p>
            <w:pPr>
              <w:spacing w:after="0"/>
              <w:rPr>
                <w:sz w:val="17"/>
                <w:szCs w:val="17"/>
                <w:color w:val="auto"/>
              </w:rPr>
            </w:pPr>
          </w:p>
        </w:tc>
        <w:tc>
          <w:tcPr>
            <w:tcW w:w="1740" w:type="dxa"/>
            <w:vAlign w:val="bottom"/>
          </w:tcPr>
          <w:p>
            <w:pPr>
              <w:jc w:val="right"/>
              <w:ind w:right="284"/>
              <w:spacing w:after="0"/>
              <w:rPr>
                <w:sz w:val="20"/>
                <w:szCs w:val="20"/>
                <w:color w:val="auto"/>
              </w:rPr>
            </w:pPr>
            <w:r>
              <w:rPr>
                <w:rFonts w:ascii="Arial" w:cs="Arial" w:eastAsia="Arial" w:hAnsi="Arial"/>
                <w:sz w:val="15"/>
                <w:szCs w:val="15"/>
                <w:b w:val="1"/>
                <w:bCs w:val="1"/>
                <w:color w:val="auto"/>
              </w:rPr>
              <w:t>December 31, 2022</w:t>
            </w:r>
          </w:p>
        </w:tc>
        <w:tc>
          <w:tcPr>
            <w:tcW w:w="0" w:type="dxa"/>
            <w:vAlign w:val="bottom"/>
          </w:tcPr>
          <w:p>
            <w:pPr>
              <w:spacing w:after="0"/>
              <w:rPr>
                <w:sz w:val="1"/>
                <w:szCs w:val="1"/>
                <w:color w:val="auto"/>
              </w:rPr>
            </w:pPr>
          </w:p>
        </w:tc>
      </w:tr>
      <w:tr>
        <w:trPr>
          <w:trHeight w:val="187"/>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94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48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23,859</w:t>
            </w:r>
          </w:p>
        </w:tc>
        <w:tc>
          <w:tcPr>
            <w:tcW w:w="0" w:type="dxa"/>
            <w:vAlign w:val="bottom"/>
          </w:tcPr>
          <w:p>
            <w:pPr>
              <w:spacing w:after="0"/>
              <w:rPr>
                <w:sz w:val="1"/>
                <w:szCs w:val="1"/>
                <w:color w:val="auto"/>
              </w:rPr>
            </w:pPr>
          </w:p>
        </w:tc>
      </w:tr>
      <w:tr>
        <w:trPr>
          <w:trHeight w:val="198"/>
        </w:trPr>
        <w:tc>
          <w:tcPr>
            <w:tcW w:w="6940" w:type="dxa"/>
            <w:vAlign w:val="bottom"/>
          </w:tcPr>
          <w:p>
            <w:pPr>
              <w:ind w:left="480"/>
              <w:spacing w:after="0"/>
              <w:rPr>
                <w:sz w:val="20"/>
                <w:szCs w:val="20"/>
                <w:color w:val="auto"/>
              </w:rPr>
            </w:pPr>
            <w:r>
              <w:rPr>
                <w:rFonts w:ascii="Arial" w:cs="Arial" w:eastAsia="Arial" w:hAnsi="Arial"/>
                <w:sz w:val="15"/>
                <w:szCs w:val="15"/>
                <w:color w:val="auto"/>
              </w:rPr>
              <w:t>Accounts receivable</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13,174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13,900</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480"/>
              <w:spacing w:after="0"/>
              <w:rPr>
                <w:sz w:val="20"/>
                <w:szCs w:val="20"/>
                <w:color w:val="auto"/>
              </w:rPr>
            </w:pPr>
            <w:r>
              <w:rPr>
                <w:rFonts w:ascii="Arial" w:cs="Arial" w:eastAsia="Arial" w:hAnsi="Arial"/>
                <w:sz w:val="15"/>
                <w:szCs w:val="15"/>
                <w:color w:val="auto"/>
              </w:rPr>
              <w:t>Investments, at fair value</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15,342</w:t>
            </w:r>
          </w:p>
        </w:tc>
        <w:tc>
          <w:tcPr>
            <w:tcW w:w="0" w:type="dxa"/>
            <w:vAlign w:val="bottom"/>
          </w:tcPr>
          <w:p>
            <w:pPr>
              <w:spacing w:after="0"/>
              <w:rPr>
                <w:sz w:val="1"/>
                <w:szCs w:val="1"/>
                <w:color w:val="auto"/>
              </w:rPr>
            </w:pPr>
          </w:p>
        </w:tc>
      </w:tr>
      <w:tr>
        <w:trPr>
          <w:trHeight w:val="198"/>
        </w:trPr>
        <w:tc>
          <w:tcPr>
            <w:tcW w:w="6940" w:type="dxa"/>
            <w:vAlign w:val="bottom"/>
          </w:tcPr>
          <w:p>
            <w:pPr>
              <w:ind w:left="480"/>
              <w:spacing w:after="0"/>
              <w:rPr>
                <w:sz w:val="20"/>
                <w:szCs w:val="20"/>
                <w:color w:val="auto"/>
              </w:rPr>
            </w:pPr>
            <w:r>
              <w:rPr>
                <w:rFonts w:ascii="Arial" w:cs="Arial" w:eastAsia="Arial" w:hAnsi="Arial"/>
                <w:sz w:val="15"/>
                <w:szCs w:val="15"/>
                <w:color w:val="auto"/>
              </w:rPr>
              <w:t>Prepaid income taxes</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423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446</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480"/>
              <w:spacing w:after="0"/>
              <w:rPr>
                <w:sz w:val="20"/>
                <w:szCs w:val="20"/>
                <w:color w:val="auto"/>
              </w:rPr>
            </w:pPr>
            <w:r>
              <w:rPr>
                <w:rFonts w:ascii="Arial" w:cs="Arial" w:eastAsia="Arial" w:hAnsi="Arial"/>
                <w:sz w:val="15"/>
                <w:szCs w:val="15"/>
                <w:color w:val="auto"/>
              </w:rPr>
              <w:t>Other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4,129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4,645</w:t>
            </w:r>
          </w:p>
        </w:tc>
        <w:tc>
          <w:tcPr>
            <w:tcW w:w="0" w:type="dxa"/>
            <w:vAlign w:val="bottom"/>
          </w:tcPr>
          <w:p>
            <w:pPr>
              <w:spacing w:after="0"/>
              <w:rPr>
                <w:sz w:val="1"/>
                <w:szCs w:val="1"/>
                <w:color w:val="auto"/>
              </w:rPr>
            </w:pPr>
          </w:p>
        </w:tc>
      </w:tr>
      <w:tr>
        <w:trPr>
          <w:trHeight w:val="192"/>
        </w:trPr>
        <w:tc>
          <w:tcPr>
            <w:tcW w:w="6940" w:type="dxa"/>
            <w:vAlign w:val="bottom"/>
          </w:tcPr>
          <w:p>
            <w:pPr>
              <w:ind w:left="680"/>
              <w:spacing w:after="0"/>
              <w:rPr>
                <w:sz w:val="20"/>
                <w:szCs w:val="20"/>
                <w:color w:val="auto"/>
              </w:rPr>
            </w:pPr>
            <w:r>
              <w:rPr>
                <w:rFonts w:ascii="Arial" w:cs="Arial" w:eastAsia="Arial" w:hAnsi="Arial"/>
                <w:sz w:val="15"/>
                <w:szCs w:val="15"/>
                <w:color w:val="auto"/>
              </w:rPr>
              <w:t>Total current assets</w:t>
            </w: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66,216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58,192</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4,455</w:t>
            </w:r>
          </w:p>
        </w:tc>
        <w:tc>
          <w:tcPr>
            <w:tcW w:w="0" w:type="dxa"/>
            <w:vAlign w:val="bottom"/>
          </w:tcPr>
          <w:p>
            <w:pPr>
              <w:spacing w:after="0"/>
              <w:rPr>
                <w:sz w:val="1"/>
                <w:szCs w:val="1"/>
                <w:color w:val="auto"/>
              </w:rPr>
            </w:pPr>
          </w:p>
        </w:tc>
      </w:tr>
      <w:tr>
        <w:trPr>
          <w:trHeight w:val="198"/>
        </w:trPr>
        <w:tc>
          <w:tcPr>
            <w:tcW w:w="6940" w:type="dxa"/>
            <w:vAlign w:val="bottom"/>
          </w:tcPr>
          <w:p>
            <w:pPr>
              <w:ind w:left="20"/>
              <w:spacing w:after="0"/>
              <w:rPr>
                <w:sz w:val="20"/>
                <w:szCs w:val="20"/>
                <w:color w:val="auto"/>
              </w:rPr>
            </w:pPr>
            <w:r>
              <w:rPr>
                <w:rFonts w:ascii="Arial" w:cs="Arial" w:eastAsia="Arial" w:hAnsi="Arial"/>
                <w:sz w:val="15"/>
                <w:szCs w:val="15"/>
                <w:color w:val="auto"/>
              </w:rPr>
              <w:t>Equity method investments</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4,256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6,574</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investments at fair value</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3,027</w:t>
            </w:r>
          </w:p>
        </w:tc>
        <w:tc>
          <w:tcPr>
            <w:tcW w:w="0" w:type="dxa"/>
            <w:vAlign w:val="bottom"/>
          </w:tcPr>
          <w:p>
            <w:pPr>
              <w:spacing w:after="0"/>
              <w:rPr>
                <w:sz w:val="1"/>
                <w:szCs w:val="1"/>
                <w:color w:val="auto"/>
              </w:rPr>
            </w:pPr>
          </w:p>
        </w:tc>
      </w:tr>
      <w:tr>
        <w:trPr>
          <w:trHeight w:val="198"/>
        </w:trPr>
        <w:tc>
          <w:tcPr>
            <w:tcW w:w="6940" w:type="dxa"/>
            <w:vAlign w:val="bottom"/>
          </w:tcPr>
          <w:p>
            <w:pPr>
              <w:ind w:left="20"/>
              <w:spacing w:after="0"/>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39,501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35,732</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1,762</w:t>
            </w:r>
          </w:p>
        </w:tc>
        <w:tc>
          <w:tcPr>
            <w:tcW w:w="0" w:type="dxa"/>
            <w:vAlign w:val="bottom"/>
          </w:tcPr>
          <w:p>
            <w:pPr>
              <w:spacing w:after="0"/>
              <w:rPr>
                <w:sz w:val="1"/>
                <w:szCs w:val="1"/>
                <w:color w:val="auto"/>
              </w:rPr>
            </w:pPr>
          </w:p>
        </w:tc>
      </w:tr>
      <w:tr>
        <w:trPr>
          <w:trHeight w:val="198"/>
        </w:trPr>
        <w:tc>
          <w:tcPr>
            <w:tcW w:w="6940" w:type="dxa"/>
            <w:vAlign w:val="bottom"/>
          </w:tcPr>
          <w:p>
            <w:pPr>
              <w:ind w:left="20"/>
              <w:spacing w:after="0"/>
              <w:rPr>
                <w:sz w:val="20"/>
                <w:szCs w:val="20"/>
                <w:color w:val="auto"/>
              </w:rPr>
            </w:pPr>
            <w:r>
              <w:rPr>
                <w:rFonts w:ascii="Arial" w:cs="Arial" w:eastAsia="Arial" w:hAnsi="Arial"/>
                <w:sz w:val="15"/>
                <w:szCs w:val="15"/>
                <w:color w:val="auto"/>
              </w:rPr>
              <w:t>Operating lease right-of-use assets</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3,758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4,976</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28,952</w:t>
            </w:r>
          </w:p>
        </w:tc>
        <w:tc>
          <w:tcPr>
            <w:tcW w:w="0" w:type="dxa"/>
            <w:vAlign w:val="bottom"/>
          </w:tcPr>
          <w:p>
            <w:pPr>
              <w:spacing w:after="0"/>
              <w:rPr>
                <w:sz w:val="1"/>
                <w:szCs w:val="1"/>
                <w:color w:val="auto"/>
              </w:rPr>
            </w:pPr>
          </w:p>
        </w:tc>
      </w:tr>
      <w:tr>
        <w:trPr>
          <w:trHeight w:val="198"/>
        </w:trPr>
        <w:tc>
          <w:tcPr>
            <w:tcW w:w="6940" w:type="dxa"/>
            <w:vAlign w:val="bottom"/>
          </w:tcPr>
          <w:p>
            <w:pPr>
              <w:ind w:left="20"/>
              <w:spacing w:after="0"/>
              <w:rPr>
                <w:sz w:val="20"/>
                <w:szCs w:val="20"/>
                <w:color w:val="auto"/>
              </w:rPr>
            </w:pPr>
            <w:r>
              <w:rPr>
                <w:rFonts w:ascii="Arial" w:cs="Arial" w:eastAsia="Arial" w:hAnsi="Arial"/>
                <w:sz w:val="15"/>
                <w:szCs w:val="15"/>
                <w:color w:val="auto"/>
              </w:rPr>
              <w:t>Property and equipment, net of accumulated depreciation of $9,903 and $9,277</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1,576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1,828</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long-term assets</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929</w:t>
            </w:r>
          </w:p>
        </w:tc>
        <w:tc>
          <w:tcPr>
            <w:tcW w:w="0" w:type="dxa"/>
            <w:vAlign w:val="bottom"/>
          </w:tcPr>
          <w:p>
            <w:pPr>
              <w:spacing w:after="0"/>
              <w:rPr>
                <w:sz w:val="1"/>
                <w:szCs w:val="1"/>
                <w:color w:val="auto"/>
              </w:rPr>
            </w:pPr>
          </w:p>
        </w:tc>
      </w:tr>
      <w:tr>
        <w:trPr>
          <w:trHeight w:val="192"/>
        </w:trPr>
        <w:tc>
          <w:tcPr>
            <w:tcW w:w="694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long-term assets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84,535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88,235</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150,751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146,427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9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40" w:type="dxa"/>
            <w:vAlign w:val="bottom"/>
          </w:tcPr>
          <w:p>
            <w:pPr>
              <w:ind w:left="480"/>
              <w:spacing w:after="0"/>
              <w:rPr>
                <w:sz w:val="20"/>
                <w:szCs w:val="20"/>
                <w:color w:val="auto"/>
              </w:rPr>
            </w:pPr>
            <w:r>
              <w:rPr>
                <w:rFonts w:ascii="Arial" w:cs="Arial" w:eastAsia="Arial" w:hAnsi="Arial"/>
                <w:sz w:val="15"/>
                <w:szCs w:val="15"/>
                <w:color w:val="auto"/>
              </w:rPr>
              <w:t>Accounts payable and accrued liabilities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6,523</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5,678</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480"/>
              <w:spacing w:after="0"/>
              <w:rPr>
                <w:sz w:val="20"/>
                <w:szCs w:val="20"/>
                <w:color w:val="auto"/>
              </w:rPr>
            </w:pPr>
            <w:r>
              <w:rPr>
                <w:rFonts w:ascii="Arial" w:cs="Arial" w:eastAsia="Arial" w:hAnsi="Arial"/>
                <w:sz w:val="15"/>
                <w:szCs w:val="15"/>
                <w:color w:val="auto"/>
              </w:rPr>
              <w:t>Dividends payable</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1,745</w:t>
            </w:r>
          </w:p>
        </w:tc>
        <w:tc>
          <w:tcPr>
            <w:tcW w:w="0" w:type="dxa"/>
            <w:vAlign w:val="bottom"/>
          </w:tcPr>
          <w:p>
            <w:pPr>
              <w:spacing w:after="0"/>
              <w:rPr>
                <w:sz w:val="1"/>
                <w:szCs w:val="1"/>
                <w:color w:val="auto"/>
              </w:rPr>
            </w:pPr>
          </w:p>
        </w:tc>
      </w:tr>
      <w:tr>
        <w:trPr>
          <w:trHeight w:val="198"/>
        </w:trPr>
        <w:tc>
          <w:tcPr>
            <w:tcW w:w="6940" w:type="dxa"/>
            <w:vAlign w:val="bottom"/>
          </w:tcPr>
          <w:p>
            <w:pPr>
              <w:ind w:left="480"/>
              <w:spacing w:after="0"/>
              <w:rPr>
                <w:sz w:val="20"/>
                <w:szCs w:val="20"/>
                <w:color w:val="auto"/>
              </w:rPr>
            </w:pPr>
            <w:r>
              <w:rPr>
                <w:rFonts w:ascii="Arial" w:cs="Arial" w:eastAsia="Arial" w:hAnsi="Arial"/>
                <w:sz w:val="15"/>
                <w:szCs w:val="15"/>
                <w:color w:val="auto"/>
              </w:rPr>
              <w:t>Compensation and benefits payable</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7,261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8,689</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480"/>
              <w:spacing w:after="0"/>
              <w:rPr>
                <w:sz w:val="20"/>
                <w:szCs w:val="20"/>
                <w:color w:val="auto"/>
              </w:rPr>
            </w:pPr>
            <w:r>
              <w:rPr>
                <w:rFonts w:ascii="Arial" w:cs="Arial" w:eastAsia="Arial" w:hAnsi="Arial"/>
                <w:sz w:val="15"/>
                <w:szCs w:val="15"/>
                <w:color w:val="auto"/>
              </w:rPr>
              <w:t>Operating lease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1,502</w:t>
            </w:r>
          </w:p>
        </w:tc>
        <w:tc>
          <w:tcPr>
            <w:tcW w:w="0" w:type="dxa"/>
            <w:vAlign w:val="bottom"/>
          </w:tcPr>
          <w:p>
            <w:pPr>
              <w:spacing w:after="0"/>
              <w:rPr>
                <w:sz w:val="1"/>
                <w:szCs w:val="1"/>
                <w:color w:val="auto"/>
              </w:rPr>
            </w:pPr>
          </w:p>
        </w:tc>
      </w:tr>
      <w:tr>
        <w:trPr>
          <w:trHeight w:val="192"/>
        </w:trPr>
        <w:tc>
          <w:tcPr>
            <w:tcW w:w="6940" w:type="dxa"/>
            <w:vAlign w:val="bottom"/>
          </w:tcPr>
          <w:p>
            <w:pPr>
              <w:ind w:left="680"/>
              <w:spacing w:after="0"/>
              <w:rPr>
                <w:sz w:val="20"/>
                <w:szCs w:val="20"/>
                <w:color w:val="auto"/>
              </w:rPr>
            </w:pPr>
            <w:r>
              <w:rPr>
                <w:rFonts w:ascii="Arial" w:cs="Arial" w:eastAsia="Arial" w:hAnsi="Arial"/>
                <w:sz w:val="15"/>
                <w:szCs w:val="15"/>
                <w:color w:val="auto"/>
              </w:rPr>
              <w:t>Total current liabilities</w:t>
            </w: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16,506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17,614</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dividends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701</w:t>
            </w:r>
          </w:p>
        </w:tc>
        <w:tc>
          <w:tcPr>
            <w:tcW w:w="0" w:type="dxa"/>
            <w:vAlign w:val="bottom"/>
          </w:tcPr>
          <w:p>
            <w:pPr>
              <w:spacing w:after="0"/>
              <w:rPr>
                <w:sz w:val="1"/>
                <w:szCs w:val="1"/>
                <w:color w:val="auto"/>
              </w:rPr>
            </w:pPr>
          </w:p>
        </w:tc>
      </w:tr>
      <w:tr>
        <w:trPr>
          <w:trHeight w:val="198"/>
        </w:trPr>
        <w:tc>
          <w:tcPr>
            <w:tcW w:w="6940" w:type="dxa"/>
            <w:vAlign w:val="bottom"/>
          </w:tcPr>
          <w:p>
            <w:pPr>
              <w:ind w:left="20"/>
              <w:spacing w:after="0"/>
              <w:rPr>
                <w:sz w:val="20"/>
                <w:szCs w:val="20"/>
                <w:color w:val="auto"/>
              </w:rPr>
            </w:pPr>
            <w:r>
              <w:rPr>
                <w:rFonts w:ascii="Arial" w:cs="Arial" w:eastAsia="Arial" w:hAnsi="Arial"/>
                <w:sz w:val="15"/>
                <w:szCs w:val="15"/>
                <w:color w:val="auto"/>
              </w:rPr>
              <w:t>Contingent consideration</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10,246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12,901</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operating lease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3,412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4,563</w:t>
            </w:r>
          </w:p>
        </w:tc>
        <w:tc>
          <w:tcPr>
            <w:tcW w:w="0" w:type="dxa"/>
            <w:vAlign w:val="bottom"/>
          </w:tcPr>
          <w:p>
            <w:pPr>
              <w:spacing w:after="0"/>
              <w:rPr>
                <w:sz w:val="1"/>
                <w:szCs w:val="1"/>
                <w:color w:val="auto"/>
              </w:rPr>
            </w:pPr>
          </w:p>
        </w:tc>
      </w:tr>
      <w:tr>
        <w:trPr>
          <w:trHeight w:val="192"/>
        </w:trPr>
        <w:tc>
          <w:tcPr>
            <w:tcW w:w="694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long-term liabilities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14,442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18,165</w:t>
            </w:r>
          </w:p>
        </w:tc>
        <w:tc>
          <w:tcPr>
            <w:tcW w:w="0" w:type="dxa"/>
            <w:vAlign w:val="bottom"/>
          </w:tcPr>
          <w:p>
            <w:pPr>
              <w:spacing w:after="0"/>
              <w:rPr>
                <w:sz w:val="1"/>
                <w:szCs w:val="1"/>
                <w:color w:val="auto"/>
              </w:rPr>
            </w:pPr>
          </w:p>
        </w:tc>
      </w:tr>
      <w:tr>
        <w:trPr>
          <w:trHeight w:val="200"/>
        </w:trPr>
        <w:tc>
          <w:tcPr>
            <w:tcW w:w="6940" w:type="dxa"/>
            <w:vAlign w:val="bottom"/>
            <w:shd w:val="clear" w:color="auto" w:fill="CCEEFF"/>
          </w:tcPr>
          <w:p>
            <w:pPr>
              <w:ind w:left="680"/>
              <w:spacing w:after="0"/>
              <w:rPr>
                <w:sz w:val="20"/>
                <w:szCs w:val="20"/>
                <w:color w:val="auto"/>
              </w:rPr>
            </w:pPr>
            <w:r>
              <w:rPr>
                <w:rFonts w:ascii="Arial" w:cs="Arial" w:eastAsia="Arial" w:hAnsi="Arial"/>
                <w:sz w:val="15"/>
                <w:szCs w:val="15"/>
                <w:b w:val="1"/>
                <w:bCs w:val="1"/>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30,948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35,779</w:t>
            </w:r>
          </w:p>
        </w:tc>
        <w:tc>
          <w:tcPr>
            <w:tcW w:w="0" w:type="dxa"/>
            <w:vAlign w:val="bottom"/>
          </w:tcPr>
          <w:p>
            <w:pPr>
              <w:spacing w:after="0"/>
              <w:rPr>
                <w:sz w:val="1"/>
                <w:szCs w:val="1"/>
                <w:color w:val="auto"/>
              </w:rPr>
            </w:pPr>
          </w:p>
        </w:tc>
      </w:tr>
      <w:tr>
        <w:trPr>
          <w:trHeight w:val="179"/>
        </w:trPr>
        <w:tc>
          <w:tcPr>
            <w:tcW w:w="6940" w:type="dxa"/>
            <w:vAlign w:val="bottom"/>
          </w:tcPr>
          <w:p>
            <w:pPr>
              <w:ind w:left="20"/>
              <w:spacing w:after="0"/>
              <w:rPr>
                <w:sz w:val="20"/>
                <w:szCs w:val="20"/>
                <w:color w:val="auto"/>
              </w:rPr>
            </w:pPr>
            <w:r>
              <w:rPr>
                <w:rFonts w:ascii="Arial" w:cs="Arial" w:eastAsia="Arial" w:hAnsi="Arial"/>
                <w:sz w:val="15"/>
                <w:szCs w:val="15"/>
                <w:color w:val="auto"/>
              </w:rPr>
              <w:t>Commitments and contingencies (Note 11)</w:t>
            </w: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940" w:type="dxa"/>
            <w:vAlign w:val="bottom"/>
          </w:tcPr>
          <w:p>
            <w:pPr>
              <w:ind w:left="480"/>
              <w:spacing w:after="0" w:line="149" w:lineRule="exact"/>
              <w:rPr>
                <w:sz w:val="20"/>
                <w:szCs w:val="20"/>
                <w:color w:val="auto"/>
              </w:rPr>
            </w:pPr>
            <w:r>
              <w:rPr>
                <w:rFonts w:ascii="Arial" w:cs="Arial" w:eastAsia="Arial" w:hAnsi="Arial"/>
                <w:sz w:val="15"/>
                <w:szCs w:val="15"/>
                <w:color w:val="auto"/>
                <w:w w:val="97"/>
              </w:rPr>
              <w:t>Common stock, $0.01 par value, authorized 25,000,000 shares, issued 11,896,172 and outstanding</w:t>
            </w: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940" w:type="dxa"/>
            <w:vAlign w:val="bottom"/>
          </w:tcPr>
          <w:p>
            <w:pPr>
              <w:ind w:left="640"/>
              <w:spacing w:after="0" w:line="162" w:lineRule="exact"/>
              <w:rPr>
                <w:sz w:val="20"/>
                <w:szCs w:val="20"/>
                <w:color w:val="auto"/>
              </w:rPr>
            </w:pPr>
            <w:r>
              <w:rPr>
                <w:rFonts w:ascii="Arial" w:cs="Arial" w:eastAsia="Arial" w:hAnsi="Arial"/>
                <w:sz w:val="15"/>
                <w:szCs w:val="15"/>
                <w:color w:val="auto"/>
                <w:w w:val="96"/>
              </w:rPr>
              <w:t>9,180,195 shares at September 30, 2023; issued 11,527,544 and outstanding 8,881,831 shares at</w:t>
            </w: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940" w:type="dxa"/>
            <w:vAlign w:val="bottom"/>
          </w:tcPr>
          <w:p>
            <w:pPr>
              <w:ind w:left="640"/>
              <w:spacing w:after="0"/>
              <w:rPr>
                <w:sz w:val="20"/>
                <w:szCs w:val="20"/>
                <w:color w:val="auto"/>
              </w:rPr>
            </w:pPr>
            <w:r>
              <w:rPr>
                <w:rFonts w:ascii="Arial" w:cs="Arial" w:eastAsia="Arial" w:hAnsi="Arial"/>
                <w:sz w:val="15"/>
                <w:szCs w:val="15"/>
                <w:color w:val="auto"/>
              </w:rPr>
              <w:t>December 31, 2022</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Additional paid-in capital</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201,424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199,914</w:t>
            </w:r>
          </w:p>
        </w:tc>
        <w:tc>
          <w:tcPr>
            <w:tcW w:w="0" w:type="dxa"/>
            <w:vAlign w:val="bottom"/>
          </w:tcPr>
          <w:p>
            <w:pPr>
              <w:spacing w:after="0"/>
              <w:rPr>
                <w:sz w:val="1"/>
                <w:szCs w:val="1"/>
                <w:color w:val="auto"/>
              </w:rPr>
            </w:pPr>
          </w:p>
        </w:tc>
      </w:tr>
      <w:tr>
        <w:trPr>
          <w:trHeight w:val="198"/>
        </w:trPr>
        <w:tc>
          <w:tcPr>
            <w:tcW w:w="6940" w:type="dxa"/>
            <w:vAlign w:val="bottom"/>
          </w:tcPr>
          <w:p>
            <w:pPr>
              <w:ind w:left="480"/>
              <w:spacing w:after="0"/>
              <w:rPr>
                <w:sz w:val="20"/>
                <w:szCs w:val="20"/>
                <w:color w:val="auto"/>
              </w:rPr>
            </w:pPr>
            <w:r>
              <w:rPr>
                <w:rFonts w:ascii="Arial" w:cs="Arial" w:eastAsia="Arial" w:hAnsi="Arial"/>
                <w:sz w:val="15"/>
                <w:szCs w:val="15"/>
                <w:color w:val="auto"/>
                <w:w w:val="90"/>
              </w:rPr>
              <w:t>Treasury stock, at cost - 2,715,977 shares at September 30, 2023; 2,645,713 shares at December 31, 2022</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(85,990)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(85,128)</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480"/>
              <w:spacing w:after="0"/>
              <w:rPr>
                <w:sz w:val="20"/>
                <w:szCs w:val="20"/>
                <w:color w:val="auto"/>
              </w:rPr>
            </w:pPr>
            <w:r>
              <w:rPr>
                <w:rFonts w:ascii="Arial" w:cs="Arial" w:eastAsia="Arial" w:hAnsi="Arial"/>
                <w:sz w:val="15"/>
                <w:szCs w:val="15"/>
                <w:color w:val="auto"/>
              </w:rPr>
              <w:t>Retained earnings (accumulated deficit)</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(4,253)</w:t>
            </w:r>
          </w:p>
        </w:tc>
        <w:tc>
          <w:tcPr>
            <w:tcW w:w="0" w:type="dxa"/>
            <w:vAlign w:val="bottom"/>
          </w:tcPr>
          <w:p>
            <w:pPr>
              <w:spacing w:after="0"/>
              <w:rPr>
                <w:sz w:val="1"/>
                <w:szCs w:val="1"/>
                <w:color w:val="auto"/>
              </w:rPr>
            </w:pPr>
          </w:p>
        </w:tc>
      </w:tr>
      <w:tr>
        <w:trPr>
          <w:trHeight w:val="192"/>
        </w:trPr>
        <w:tc>
          <w:tcPr>
            <w:tcW w:w="6940" w:type="dxa"/>
            <w:vAlign w:val="bottom"/>
          </w:tcPr>
          <w:p>
            <w:pPr>
              <w:ind w:left="20"/>
              <w:spacing w:after="0"/>
              <w:rPr>
                <w:sz w:val="20"/>
                <w:szCs w:val="20"/>
                <w:color w:val="auto"/>
              </w:rPr>
            </w:pPr>
            <w:r>
              <w:rPr>
                <w:rFonts w:ascii="Arial" w:cs="Arial" w:eastAsia="Arial" w:hAnsi="Arial"/>
                <w:sz w:val="15"/>
                <w:szCs w:val="15"/>
                <w:b w:val="1"/>
                <w:bCs w:val="1"/>
                <w:color w:val="auto"/>
              </w:rPr>
              <w:t>Total Westwood Holdings Group, Inc. stockholders’ equity</w:t>
            </w: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117,765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110,648</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Noncontrolling interest in consolidated subsidiary</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equity</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119,803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110,648</w:t>
            </w:r>
          </w:p>
        </w:tc>
        <w:tc>
          <w:tcPr>
            <w:tcW w:w="0" w:type="dxa"/>
            <w:vAlign w:val="bottom"/>
          </w:tcPr>
          <w:p>
            <w:pPr>
              <w:spacing w:after="0"/>
              <w:rPr>
                <w:sz w:val="1"/>
                <w:szCs w:val="1"/>
                <w:color w:val="auto"/>
              </w:rPr>
            </w:pPr>
          </w:p>
        </w:tc>
      </w:tr>
      <w:tr>
        <w:trPr>
          <w:trHeight w:val="219"/>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150,751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146,427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12" w:right="45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color w:val="auto"/>
        </w:rPr>
        <w:t>WESTWOOD HOLDINGS GROUP, INC. AND SUBSIDIARIES CONDENSED CONSOLIDATED STATEMENTS OF COMPREHENSIVE INCOME (LOSS) (In thousands, except per share data and share amounts) (Unaudited)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5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30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360"/>
              <w:spacing w:after="0"/>
              <w:rPr>
                <w:sz w:val="20"/>
                <w:szCs w:val="20"/>
                <w:color w:val="auto"/>
              </w:rPr>
            </w:pPr>
            <w:r>
              <w:rPr>
                <w:rFonts w:ascii="Arial" w:cs="Arial" w:eastAsia="Arial" w:hAnsi="Arial"/>
                <w:sz w:val="16"/>
                <w:szCs w:val="16"/>
                <w:color w:val="auto"/>
              </w:rPr>
              <w:t>Advisory fees: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Asset-based</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33,244</w:t>
            </w:r>
          </w:p>
        </w:tc>
        <w:tc>
          <w:tcPr>
            <w:tcW w:w="0" w:type="dxa"/>
            <w:vAlign w:val="bottom"/>
          </w:tcPr>
          <w:p>
            <w:pPr>
              <w:spacing w:after="0"/>
              <w:rPr>
                <w:sz w:val="1"/>
                <w:szCs w:val="1"/>
                <w:color w:val="auto"/>
              </w:rPr>
            </w:pPr>
          </w:p>
        </w:tc>
      </w:tr>
      <w:tr>
        <w:trPr>
          <w:trHeight w:val="213"/>
        </w:trPr>
        <w:tc>
          <w:tcPr>
            <w:tcW w:w="6320" w:type="dxa"/>
            <w:vAlign w:val="bottom"/>
          </w:tcPr>
          <w:p>
            <w:pPr>
              <w:ind w:left="680"/>
              <w:spacing w:after="0"/>
              <w:rPr>
                <w:sz w:val="20"/>
                <w:szCs w:val="20"/>
                <w:color w:val="auto"/>
              </w:rPr>
            </w:pPr>
            <w:r>
              <w:rPr>
                <w:rFonts w:ascii="Arial" w:cs="Arial" w:eastAsia="Arial" w:hAnsi="Arial"/>
                <w:sz w:val="16"/>
                <w:szCs w:val="16"/>
                <w:color w:val="auto"/>
              </w:rPr>
              <w:t>Performance-based</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Trust fees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16,257</w:t>
            </w:r>
          </w:p>
        </w:tc>
        <w:tc>
          <w:tcPr>
            <w:tcW w:w="0" w:type="dxa"/>
            <w:vAlign w:val="bottom"/>
          </w:tcPr>
          <w:p>
            <w:pPr>
              <w:spacing w:after="0"/>
              <w:rPr>
                <w:sz w:val="1"/>
                <w:szCs w:val="1"/>
                <w:color w:val="auto"/>
              </w:rPr>
            </w:pPr>
          </w:p>
        </w:tc>
      </w:tr>
      <w:tr>
        <w:trPr>
          <w:trHeight w:val="213"/>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66,552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48,225</w:t>
            </w:r>
          </w:p>
        </w:tc>
        <w:tc>
          <w:tcPr>
            <w:tcW w:w="0" w:type="dxa"/>
            <w:vAlign w:val="bottom"/>
          </w:tcPr>
          <w:p>
            <w:pPr>
              <w:spacing w:after="0"/>
              <w:rPr>
                <w:sz w:val="1"/>
                <w:szCs w:val="1"/>
                <w:color w:val="auto"/>
              </w:rPr>
            </w:pPr>
          </w:p>
        </w:tc>
      </w:tr>
      <w:tr>
        <w:trPr>
          <w:trHeight w:val="19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compensation and benefits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28,993</w:t>
            </w:r>
          </w:p>
        </w:tc>
        <w:tc>
          <w:tcPr>
            <w:tcW w:w="0" w:type="dxa"/>
            <w:vAlign w:val="bottom"/>
          </w:tcPr>
          <w:p>
            <w:pPr>
              <w:spacing w:after="0"/>
              <w:rPr>
                <w:sz w:val="1"/>
                <w:szCs w:val="1"/>
                <w:color w:val="auto"/>
              </w:rPr>
            </w:pPr>
          </w:p>
        </w:tc>
      </w:tr>
      <w:tr>
        <w:trPr>
          <w:trHeight w:val="213"/>
        </w:trPr>
        <w:tc>
          <w:tcPr>
            <w:tcW w:w="6320" w:type="dxa"/>
            <w:vAlign w:val="bottom"/>
          </w:tcPr>
          <w:p>
            <w:pPr>
              <w:ind w:left="360"/>
              <w:spacing w:after="0"/>
              <w:rPr>
                <w:sz w:val="20"/>
                <w:szCs w:val="20"/>
                <w:color w:val="auto"/>
              </w:rPr>
            </w:pPr>
            <w:r>
              <w:rPr>
                <w:rFonts w:ascii="Arial" w:cs="Arial" w:eastAsia="Arial" w:hAnsi="Arial"/>
                <w:sz w:val="16"/>
                <w:szCs w:val="16"/>
                <w:color w:val="auto"/>
              </w:rPr>
              <w:t>Sales and marketing</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Westwood mutual funds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213"/>
        </w:trPr>
        <w:tc>
          <w:tcPr>
            <w:tcW w:w="6320" w:type="dxa"/>
            <w:vAlign w:val="bottom"/>
          </w:tcPr>
          <w:p>
            <w:pPr>
              <w:ind w:left="360"/>
              <w:spacing w:after="0"/>
              <w:rPr>
                <w:sz w:val="20"/>
                <w:szCs w:val="20"/>
                <w:color w:val="auto"/>
              </w:rPr>
            </w:pPr>
            <w:r>
              <w:rPr>
                <w:rFonts w:ascii="Arial" w:cs="Arial" w:eastAsia="Arial" w:hAnsi="Arial"/>
                <w:sz w:val="16"/>
                <w:szCs w:val="16"/>
                <w:color w:val="auto"/>
              </w:rPr>
              <w:t>Information technology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5,615</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Professional 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0" w:type="dxa"/>
            <w:vAlign w:val="bottom"/>
          </w:tcPr>
          <w:p>
            <w:pPr>
              <w:spacing w:after="0"/>
              <w:rPr>
                <w:sz w:val="1"/>
                <w:szCs w:val="1"/>
                <w:color w:val="auto"/>
              </w:rPr>
            </w:pPr>
          </w:p>
        </w:tc>
      </w:tr>
      <w:tr>
        <w:trPr>
          <w:trHeight w:val="213"/>
        </w:trPr>
        <w:tc>
          <w:tcPr>
            <w:tcW w:w="632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6,569</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loss from change in fair value of contingent consideration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20" w:type="dxa"/>
            <w:vAlign w:val="bottom"/>
          </w:tcPr>
          <w:p>
            <w:pPr>
              <w:ind w:left="360"/>
              <w:spacing w:after="0"/>
              <w:rPr>
                <w:sz w:val="20"/>
                <w:szCs w:val="20"/>
                <w:color w:val="auto"/>
              </w:rPr>
            </w:pPr>
            <w:r>
              <w:rPr>
                <w:rFonts w:ascii="Arial" w:cs="Arial" w:eastAsia="Arial" w:hAnsi="Arial"/>
                <w:sz w:val="16"/>
                <w:szCs w:val="16"/>
                <w:color w:val="auto"/>
              </w:rPr>
              <w:t>Acquisition expenses</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1,588</w:t>
            </w:r>
          </w:p>
        </w:tc>
        <w:tc>
          <w:tcPr>
            <w:tcW w:w="0" w:type="dxa"/>
            <w:vAlign w:val="bottom"/>
          </w:tcPr>
          <w:p>
            <w:pPr>
              <w:spacing w:after="0"/>
              <w:rPr>
                <w:sz w:val="1"/>
                <w:szCs w:val="1"/>
                <w:color w:val="auto"/>
              </w:rPr>
            </w:pPr>
          </w:p>
        </w:tc>
      </w:tr>
      <w:tr>
        <w:trPr>
          <w:trHeight w:val="213"/>
        </w:trPr>
        <w:tc>
          <w:tcPr>
            <w:tcW w:w="6320" w:type="dxa"/>
            <w:vAlign w:val="bottom"/>
            <w:tcBorders>
              <w:top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Total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63,390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49,290</w:t>
            </w:r>
          </w:p>
        </w:tc>
        <w:tc>
          <w:tcPr>
            <w:tcW w:w="0" w:type="dxa"/>
            <w:vAlign w:val="bottom"/>
          </w:tcPr>
          <w:p>
            <w:pPr>
              <w:spacing w:after="0"/>
              <w:rPr>
                <w:sz w:val="1"/>
                <w:szCs w:val="1"/>
                <w:color w:val="auto"/>
              </w:rPr>
            </w:pPr>
          </w:p>
        </w:tc>
      </w:tr>
      <w:tr>
        <w:trPr>
          <w:trHeight w:val="20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operating income (loss)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change in unrealized appreciation (depreciation) on private investments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13"/>
        </w:trPr>
        <w:tc>
          <w:tcPr>
            <w:tcW w:w="6320" w:type="dxa"/>
            <w:vAlign w:val="bottom"/>
          </w:tcPr>
          <w:p>
            <w:pPr>
              <w:ind w:left="360"/>
              <w:spacing w:after="0"/>
              <w:rPr>
                <w:sz w:val="20"/>
                <w:szCs w:val="20"/>
                <w:color w:val="auto"/>
              </w:rPr>
            </w:pPr>
            <w:r>
              <w:rPr>
                <w:rFonts w:ascii="Arial" w:cs="Arial" w:eastAsia="Arial" w:hAnsi="Arial"/>
                <w:sz w:val="16"/>
                <w:szCs w:val="16"/>
                <w:color w:val="auto"/>
              </w:rPr>
              <w:t>Net investment income (loss)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07"/>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4,059</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183"/>
        </w:trPr>
        <w:tc>
          <w:tcPr>
            <w:tcW w:w="63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income (loss)</w:t>
            </w:r>
          </w:p>
        </w:tc>
        <w:tc>
          <w:tcPr>
            <w:tcW w:w="260" w:type="dxa"/>
            <w:vAlign w:val="bottom"/>
            <w:tcBorders>
              <w:bottom w:val="single" w:sz="8" w:color="auto"/>
            </w:tcBorders>
          </w:tcPr>
          <w:p>
            <w:pPr>
              <w:jc w:val="right"/>
              <w:ind w:right="80"/>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4,375</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(1,175)</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7,988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 attributable to Westwood Holdings Group, Inc.</w:t>
            </w: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13"/>
        </w:trPr>
        <w:tc>
          <w:tcPr>
            <w:tcW w:w="6320" w:type="dxa"/>
            <w:vAlign w:val="bottom"/>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0.41</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8,002,537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7,794,060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7,949,773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7,867,555</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8,116,747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7,794,060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8,072,739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7,867,555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2160" w:type="dxa"/>
            <w:vAlign w:val="bottom"/>
            <w:gridSpan w:val="5"/>
            <w:vMerge w:val="restart"/>
          </w:tcPr>
          <w:p>
            <w:pPr>
              <w:ind w:left="360"/>
              <w:spacing w:after="0"/>
              <w:rPr>
                <w:sz w:val="20"/>
                <w:szCs w:val="20"/>
                <w:color w:val="auto"/>
              </w:rPr>
            </w:pPr>
            <w:r>
              <w:rPr>
                <w:rFonts w:ascii="Arial" w:cs="Arial" w:eastAsia="Arial" w:hAnsi="Arial"/>
                <w:sz w:val="15"/>
                <w:szCs w:val="15"/>
                <w:b w:val="1"/>
                <w:bCs w:val="1"/>
                <w:color w:val="auto"/>
              </w:rPr>
              <w:t>Common Stock, Par</w:t>
            </w:r>
          </w:p>
        </w:tc>
        <w:tc>
          <w:tcPr>
            <w:tcW w:w="14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Additional</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4"/>
              </w:rPr>
              <w:t>Treasury</w:t>
            </w:r>
          </w:p>
        </w:tc>
        <w:tc>
          <w:tcPr>
            <w:tcW w:w="148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91"/>
              </w:rPr>
              <w:t>Retained Earnings</w:t>
            </w:r>
          </w:p>
        </w:tc>
        <w:tc>
          <w:tcPr>
            <w:tcW w:w="16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1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9"/>
              </w:rPr>
              <w:t>(Accumulated</w:t>
            </w: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880" w:type="dxa"/>
            <w:vAlign w:val="bottom"/>
          </w:tcPr>
          <w:p>
            <w:pPr>
              <w:spacing w:after="0"/>
              <w:rPr>
                <w:sz w:val="16"/>
                <w:szCs w:val="16"/>
                <w:color w:val="auto"/>
              </w:rPr>
            </w:pPr>
          </w:p>
        </w:tc>
        <w:tc>
          <w:tcPr>
            <w:tcW w:w="1160" w:type="dxa"/>
            <w:vAlign w:val="bottom"/>
            <w:tcBorders>
              <w:top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80"/>
              <w:spacing w:after="0"/>
              <w:rPr>
                <w:sz w:val="20"/>
                <w:szCs w:val="20"/>
                <w:color w:val="auto"/>
              </w:rPr>
            </w:pPr>
            <w:r>
              <w:rPr>
                <w:rFonts w:ascii="Arial" w:cs="Arial" w:eastAsia="Arial" w:hAnsi="Arial"/>
                <w:sz w:val="15"/>
                <w:szCs w:val="15"/>
                <w:b w:val="1"/>
                <w:bCs w:val="1"/>
                <w:color w:val="auto"/>
                <w:w w:val="98"/>
              </w:rPr>
              <w:t>Amount</w:t>
            </w:r>
          </w:p>
        </w:tc>
        <w:tc>
          <w:tcPr>
            <w:tcW w:w="12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Stock</w:t>
            </w:r>
          </w:p>
        </w:tc>
        <w:tc>
          <w:tcPr>
            <w:tcW w:w="18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Deficit)</w:t>
            </w:r>
          </w:p>
        </w:tc>
        <w:tc>
          <w:tcPr>
            <w:tcW w:w="16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Interest</w:t>
            </w:r>
          </w:p>
        </w:tc>
        <w:tc>
          <w:tcPr>
            <w:tcW w:w="220" w:type="dxa"/>
            <w:vAlign w:val="bottom"/>
          </w:tcPr>
          <w:p>
            <w:pPr>
              <w:spacing w:after="0"/>
              <w:rPr>
                <w:sz w:val="16"/>
                <w:szCs w:val="16"/>
                <w:color w:val="auto"/>
              </w:rPr>
            </w:pPr>
          </w:p>
        </w:tc>
        <w:tc>
          <w:tcPr>
            <w:tcW w:w="740" w:type="dxa"/>
            <w:vAlign w:val="bottom"/>
          </w:tcPr>
          <w:p>
            <w:pPr>
              <w:jc w:val="right"/>
              <w:ind w:right="2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2"/>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9,182,770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200,885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(85,965)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115,099</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4,375</w:t>
            </w: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restricted stock, net of</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forfeitures</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Dividends declared ($0.15 per share)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0" w:type="dxa"/>
            <w:vAlign w:val="bottom"/>
          </w:tcPr>
          <w:p>
            <w:pPr>
              <w:spacing w:after="0"/>
              <w:rPr>
                <w:sz w:val="1"/>
                <w:szCs w:val="1"/>
                <w:color w:val="auto"/>
              </w:rPr>
            </w:pPr>
          </w:p>
        </w:tc>
      </w:tr>
      <w:tr>
        <w:trPr>
          <w:trHeight w:val="166"/>
        </w:trPr>
        <w:tc>
          <w:tcPr>
            <w:tcW w:w="2880" w:type="dxa"/>
            <w:vAlign w:val="bottom"/>
          </w:tcPr>
          <w:p>
            <w:pPr>
              <w:ind w:left="20"/>
              <w:spacing w:after="0" w:line="166" w:lineRule="exact"/>
              <w:rPr>
                <w:sz w:val="20"/>
                <w:szCs w:val="20"/>
                <w:color w:val="auto"/>
              </w:rPr>
            </w:pPr>
            <w:r>
              <w:rPr>
                <w:rFonts w:ascii="Arial" w:cs="Arial" w:eastAsia="Arial" w:hAnsi="Arial"/>
                <w:sz w:val="16"/>
                <w:szCs w:val="16"/>
                <w:color w:val="auto"/>
                <w:w w:val="99"/>
              </w:rPr>
              <w:t>Restricted stock returned for payment of</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(2,521)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2880" w:type="dxa"/>
            <w:vAlign w:val="bottom"/>
          </w:tcPr>
          <w:p>
            <w:pPr>
              <w:ind w:left="180"/>
              <w:spacing w:after="0"/>
              <w:rPr>
                <w:sz w:val="20"/>
                <w:szCs w:val="20"/>
                <w:color w:val="auto"/>
              </w:rPr>
            </w:pPr>
            <w:r>
              <w:rPr>
                <w:rFonts w:ascii="Arial" w:cs="Arial" w:eastAsia="Arial" w:hAnsi="Arial"/>
                <w:sz w:val="16"/>
                <w:szCs w:val="16"/>
                <w:color w:val="auto"/>
              </w:rPr>
              <w:t>taxes</w:t>
            </w: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September 30, 2023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9,180,195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201,424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119,803</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6"/>
        </w:trPr>
        <w:tc>
          <w:tcPr>
            <w:tcW w:w="2880" w:type="dxa"/>
            <w:vAlign w:val="bottom"/>
          </w:tcPr>
          <w:p>
            <w:pPr>
              <w:spacing w:after="0"/>
              <w:rPr>
                <w:sz w:val="24"/>
                <w:szCs w:val="24"/>
                <w:color w:val="auto"/>
              </w:rPr>
            </w:pPr>
          </w:p>
        </w:tc>
        <w:tc>
          <w:tcPr>
            <w:tcW w:w="2160" w:type="dxa"/>
            <w:vAlign w:val="bottom"/>
            <w:gridSpan w:val="5"/>
            <w:vMerge w:val="restart"/>
          </w:tcPr>
          <w:p>
            <w:pPr>
              <w:ind w:left="360"/>
              <w:spacing w:after="0"/>
              <w:rPr>
                <w:sz w:val="20"/>
                <w:szCs w:val="20"/>
                <w:color w:val="auto"/>
              </w:rPr>
            </w:pPr>
            <w:r>
              <w:rPr>
                <w:rFonts w:ascii="Arial" w:cs="Arial" w:eastAsia="Arial" w:hAnsi="Arial"/>
                <w:sz w:val="15"/>
                <w:szCs w:val="15"/>
                <w:b w:val="1"/>
                <w:bCs w:val="1"/>
                <w:color w:val="auto"/>
              </w:rPr>
              <w:t>Common Stock, Par</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91"/>
              </w:rPr>
              <w:t>Retained Earnings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880" w:type="dxa"/>
            <w:vAlign w:val="bottom"/>
          </w:tcPr>
          <w:p>
            <w:pPr>
              <w:spacing w:after="0"/>
              <w:rPr>
                <w:sz w:val="9"/>
                <w:szCs w:val="9"/>
                <w:color w:val="auto"/>
              </w:rPr>
            </w:pPr>
          </w:p>
        </w:tc>
        <w:tc>
          <w:tcPr>
            <w:tcW w:w="216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restart"/>
          </w:tcPr>
          <w:p>
            <w:pPr>
              <w:ind w:left="40"/>
              <w:spacing w:after="0" w:line="149" w:lineRule="exact"/>
              <w:rPr>
                <w:sz w:val="20"/>
                <w:szCs w:val="20"/>
                <w:color w:val="auto"/>
              </w:rPr>
            </w:pPr>
            <w:r>
              <w:rPr>
                <w:rFonts w:ascii="Arial" w:cs="Arial" w:eastAsia="Arial" w:hAnsi="Arial"/>
                <w:sz w:val="15"/>
                <w:szCs w:val="15"/>
                <w:b w:val="1"/>
                <w:bCs w:val="1"/>
                <w:color w:val="auto"/>
              </w:rPr>
              <w:t>Additional</w:t>
            </w:r>
          </w:p>
        </w:tc>
        <w:tc>
          <w:tcPr>
            <w:tcW w:w="140" w:type="dxa"/>
            <w:vAlign w:val="bottom"/>
          </w:tcPr>
          <w:p>
            <w:pPr>
              <w:spacing w:after="0"/>
              <w:rPr>
                <w:sz w:val="9"/>
                <w:szCs w:val="9"/>
                <w:color w:val="auto"/>
              </w:rPr>
            </w:pPr>
          </w:p>
        </w:tc>
        <w:tc>
          <w:tcPr>
            <w:tcW w:w="9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5"/>
                <w:szCs w:val="15"/>
                <w:b w:val="1"/>
                <w:bCs w:val="1"/>
                <w:color w:val="auto"/>
                <w:w w:val="94"/>
              </w:rPr>
              <w:t>Treasury</w:t>
            </w:r>
          </w:p>
        </w:tc>
        <w:tc>
          <w:tcPr>
            <w:tcW w:w="180" w:type="dxa"/>
            <w:vAlign w:val="bottom"/>
          </w:tcPr>
          <w:p>
            <w:pPr>
              <w:spacing w:after="0"/>
              <w:rPr>
                <w:sz w:val="9"/>
                <w:szCs w:val="9"/>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5"/>
                <w:szCs w:val="15"/>
                <w:b w:val="1"/>
                <w:bCs w:val="1"/>
                <w:color w:val="auto"/>
                <w:w w:val="92"/>
              </w:rPr>
              <w:t>(Accumulated</w:t>
            </w:r>
          </w:p>
        </w:tc>
        <w:tc>
          <w:tcPr>
            <w:tcW w:w="160" w:type="dxa"/>
            <w:vAlign w:val="bottom"/>
          </w:tcPr>
          <w:p>
            <w:pPr>
              <w:spacing w:after="0"/>
              <w:rPr>
                <w:sz w:val="9"/>
                <w:szCs w:val="9"/>
                <w:color w:val="auto"/>
              </w:rPr>
            </w:pPr>
          </w:p>
        </w:tc>
        <w:tc>
          <w:tcPr>
            <w:tcW w:w="13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8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b w:val="1"/>
                <w:bCs w:val="1"/>
                <w:color w:val="auto"/>
                <w:w w:val="98"/>
              </w:rPr>
              <w:t>Amount</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5"/>
              </w:rPr>
              <w:t>Paid-In Capital</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60"/>
              <w:spacing w:after="0"/>
              <w:rPr>
                <w:sz w:val="20"/>
                <w:szCs w:val="20"/>
                <w:color w:val="auto"/>
              </w:rPr>
            </w:pPr>
            <w:r>
              <w:rPr>
                <w:rFonts w:ascii="Arial" w:cs="Arial" w:eastAsia="Arial" w:hAnsi="Arial"/>
                <w:sz w:val="15"/>
                <w:szCs w:val="15"/>
                <w:b w:val="1"/>
                <w:bCs w:val="1"/>
                <w:color w:val="auto"/>
                <w:w w:val="88"/>
              </w:rPr>
              <w:t>Stock</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15"/>
                <w:szCs w:val="15"/>
                <w:b w:val="1"/>
                <w:bCs w:val="1"/>
                <w:color w:val="auto"/>
                <w:w w:val="94"/>
              </w:rPr>
              <w:t>Deficit)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60"/>
              <w:spacing w:after="0"/>
              <w:rPr>
                <w:sz w:val="20"/>
                <w:szCs w:val="20"/>
                <w:color w:val="auto"/>
              </w:rPr>
            </w:pPr>
            <w:r>
              <w:rPr>
                <w:rFonts w:ascii="Arial" w:cs="Arial" w:eastAsia="Arial" w:hAnsi="Arial"/>
                <w:sz w:val="15"/>
                <w:szCs w:val="15"/>
                <w:b w:val="1"/>
                <w:bCs w:val="1"/>
                <w:color w:val="auto"/>
                <w:w w:val="92"/>
              </w:rPr>
              <w:t>Interest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8,511,014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115,718</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restricted stock, net of</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forfeitures</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Dividends declared ($0.15 per share)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Purchases of treasury stock</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(99,444)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September 30, 2022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8,410,659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113,507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5"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6"/>
            <w:vMerge w:val="restart"/>
          </w:tcPr>
          <w:p>
            <w:pPr>
              <w:ind w:left="360"/>
              <w:spacing w:after="0"/>
              <w:rPr>
                <w:sz w:val="20"/>
                <w:szCs w:val="20"/>
                <w:color w:val="auto"/>
              </w:rPr>
            </w:pPr>
            <w:r>
              <w:rPr>
                <w:rFonts w:ascii="Arial" w:cs="Arial" w:eastAsia="Arial" w:hAnsi="Arial"/>
                <w:sz w:val="15"/>
                <w:szCs w:val="15"/>
                <w:b w:val="1"/>
                <w:bCs w:val="1"/>
                <w:color w:val="auto"/>
              </w:rPr>
              <w:t>Common Stock, Par</w:t>
            </w:r>
          </w:p>
        </w:tc>
        <w:tc>
          <w:tcPr>
            <w:tcW w:w="14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Additional</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4"/>
              </w:rPr>
              <w:t>Treasury</w:t>
            </w:r>
          </w:p>
        </w:tc>
        <w:tc>
          <w:tcPr>
            <w:tcW w:w="1500" w:type="dxa"/>
            <w:vAlign w:val="bottom"/>
            <w:gridSpan w:val="4"/>
          </w:tcPr>
          <w:p>
            <w:pPr>
              <w:jc w:val="center"/>
              <w:ind w:right="100"/>
              <w:spacing w:after="0"/>
              <w:rPr>
                <w:sz w:val="20"/>
                <w:szCs w:val="20"/>
                <w:color w:val="auto"/>
              </w:rPr>
            </w:pPr>
            <w:r>
              <w:rPr>
                <w:rFonts w:ascii="Arial" w:cs="Arial" w:eastAsia="Arial" w:hAnsi="Arial"/>
                <w:sz w:val="15"/>
                <w:szCs w:val="15"/>
                <w:b w:val="1"/>
                <w:bCs w:val="1"/>
                <w:color w:val="auto"/>
                <w:w w:val="91"/>
              </w:rPr>
              <w:t>Retained Earnings</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5"/>
                <w:szCs w:val="15"/>
                <w:b w:val="1"/>
                <w:bCs w:val="1"/>
                <w:color w:val="auto"/>
                <w:w w:val="91"/>
              </w:rPr>
              <w:t>Noncontrolling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9"/>
              </w:rPr>
              <w:t>(Accumulated</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5"/>
                <w:szCs w:val="15"/>
                <w:b w:val="1"/>
                <w:bCs w:val="1"/>
                <w:color w:val="auto"/>
              </w:rPr>
              <w:t>Shares</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5"/>
                <w:szCs w:val="15"/>
                <w:b w:val="1"/>
                <w:bCs w:val="1"/>
                <w:color w:val="auto"/>
                <w:w w:val="95"/>
              </w:rPr>
              <w:t>Amount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5"/>
              </w:rPr>
              <w:t>Paid-In Capital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0"/>
              <w:spacing w:after="0"/>
              <w:rPr>
                <w:sz w:val="20"/>
                <w:szCs w:val="20"/>
                <w:color w:val="auto"/>
              </w:rPr>
            </w:pPr>
            <w:r>
              <w:rPr>
                <w:rFonts w:ascii="Arial" w:cs="Arial" w:eastAsia="Arial" w:hAnsi="Arial"/>
                <w:sz w:val="15"/>
                <w:szCs w:val="15"/>
                <w:b w:val="1"/>
                <w:bCs w:val="1"/>
                <w:color w:val="auto"/>
                <w:w w:val="88"/>
              </w:rPr>
              <w:t>Stock</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15"/>
                <w:szCs w:val="15"/>
                <w:b w:val="1"/>
                <w:bCs w:val="1"/>
                <w:color w:val="auto"/>
                <w:w w:val="94"/>
              </w:rPr>
              <w:t>Deficit)</w:t>
            </w:r>
          </w:p>
        </w:tc>
        <w:tc>
          <w:tcPr>
            <w:tcW w:w="10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5"/>
                <w:szCs w:val="15"/>
                <w:b w:val="1"/>
                <w:bCs w:val="1"/>
                <w:color w:val="auto"/>
                <w:w w:val="95"/>
              </w:rPr>
              <w:t>Interest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2"/>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2022</w:t>
            </w:r>
          </w:p>
        </w:tc>
        <w:tc>
          <w:tcPr>
            <w:tcW w:w="10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8,881,831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110,648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w:t>
            </w:r>
          </w:p>
        </w:tc>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Issuance of restricted stock, net of</w:t>
            </w:r>
          </w:p>
        </w:tc>
        <w:tc>
          <w:tcPr>
            <w:tcW w:w="1060" w:type="dxa"/>
            <w:vAlign w:val="bottom"/>
            <w:gridSpan w:val="2"/>
            <w:vMerge w:val="restart"/>
          </w:tcPr>
          <w:p>
            <w:pPr>
              <w:jc w:val="right"/>
              <w:ind w:right="1"/>
              <w:spacing w:after="0"/>
              <w:rPr>
                <w:sz w:val="20"/>
                <w:szCs w:val="20"/>
                <w:color w:val="auto"/>
              </w:rPr>
            </w:pPr>
            <w:r>
              <w:rPr>
                <w:rFonts w:ascii="Arial" w:cs="Arial" w:eastAsia="Arial" w:hAnsi="Arial"/>
                <w:sz w:val="16"/>
                <w:szCs w:val="16"/>
                <w:color w:val="auto"/>
              </w:rPr>
              <w:t>368,628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2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840" w:type="dxa"/>
            <w:vAlign w:val="bottom"/>
          </w:tcPr>
          <w:p>
            <w:pPr>
              <w:ind w:left="140"/>
              <w:spacing w:after="0"/>
              <w:rPr>
                <w:sz w:val="20"/>
                <w:szCs w:val="20"/>
                <w:color w:val="auto"/>
              </w:rPr>
            </w:pPr>
            <w:r>
              <w:rPr>
                <w:rFonts w:ascii="Arial" w:cs="Arial" w:eastAsia="Arial" w:hAnsi="Arial"/>
                <w:sz w:val="16"/>
                <w:szCs w:val="16"/>
                <w:color w:val="auto"/>
              </w:rPr>
              <w:t>forfeitures</w:t>
            </w: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Dividends declared ($0.45 per share)</w:t>
            </w:r>
          </w:p>
        </w:tc>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(4,076)</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Restricted stock returned for payment of</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(70,264)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12"/>
        </w:trPr>
        <w:tc>
          <w:tcPr>
            <w:tcW w:w="40" w:type="dxa"/>
            <w:vAlign w:val="bottom"/>
            <w:shd w:val="clear" w:color="auto" w:fill="CCEEFF"/>
          </w:tcPr>
          <w:p>
            <w:pPr>
              <w:spacing w:after="0"/>
              <w:rPr>
                <w:sz w:val="18"/>
                <w:szCs w:val="18"/>
                <w:color w:val="auto"/>
              </w:rPr>
            </w:pPr>
          </w:p>
        </w:tc>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w:t>
            </w:r>
          </w:p>
        </w:tc>
        <w:tc>
          <w:tcPr>
            <w:tcW w:w="106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gridSpan w:val="2"/>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September 30, 2023</w:t>
            </w:r>
          </w:p>
        </w:tc>
        <w:tc>
          <w:tcPr>
            <w:tcW w:w="1060" w:type="dxa"/>
            <w:vAlign w:val="bottom"/>
            <w:gridSpan w:val="2"/>
          </w:tcPr>
          <w:p>
            <w:pPr>
              <w:jc w:val="right"/>
              <w:ind w:right="1"/>
              <w:spacing w:after="0"/>
              <w:rPr>
                <w:sz w:val="20"/>
                <w:szCs w:val="20"/>
                <w:color w:val="auto"/>
              </w:rPr>
            </w:pPr>
            <w:r>
              <w:rPr>
                <w:rFonts w:ascii="Arial" w:cs="Arial" w:eastAsia="Arial" w:hAnsi="Arial"/>
                <w:sz w:val="16"/>
                <w:szCs w:val="16"/>
                <w:color w:val="auto"/>
              </w:rPr>
              <w:t>9,180,195</w:t>
            </w:r>
          </w:p>
        </w:tc>
        <w:tc>
          <w:tcPr>
            <w:tcW w:w="10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201,424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(85,990)</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2,038</w:t>
            </w:r>
          </w:p>
        </w:tc>
        <w:tc>
          <w:tcPr>
            <w:tcW w:w="40" w:type="dxa"/>
            <w:vAlign w:val="bottom"/>
          </w:tcPr>
          <w:p>
            <w:pPr>
              <w:spacing w:after="0"/>
              <w:rPr>
                <w:sz w:val="17"/>
                <w:szCs w:val="17"/>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119,803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6"/>
            <w:vMerge w:val="restart"/>
          </w:tcPr>
          <w:p>
            <w:pPr>
              <w:ind w:left="360"/>
              <w:spacing w:after="0"/>
              <w:rPr>
                <w:sz w:val="20"/>
                <w:szCs w:val="20"/>
                <w:color w:val="auto"/>
              </w:rPr>
            </w:pPr>
            <w:r>
              <w:rPr>
                <w:rFonts w:ascii="Arial" w:cs="Arial" w:eastAsia="Arial" w:hAnsi="Arial"/>
                <w:sz w:val="15"/>
                <w:szCs w:val="15"/>
                <w:b w:val="1"/>
                <w:bCs w:val="1"/>
                <w:color w:val="auto"/>
              </w:rPr>
              <w:t>Common Stock, Par</w:t>
            </w:r>
          </w:p>
        </w:tc>
        <w:tc>
          <w:tcPr>
            <w:tcW w:w="140" w:type="dxa"/>
            <w:vAlign w:val="bottom"/>
          </w:tcPr>
          <w:p>
            <w:pPr>
              <w:spacing w:after="0"/>
              <w:rPr>
                <w:sz w:val="24"/>
                <w:szCs w:val="2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Additional</w:t>
            </w:r>
          </w:p>
        </w:tc>
        <w:tc>
          <w:tcPr>
            <w:tcW w:w="140" w:type="dxa"/>
            <w:vAlign w:val="bottom"/>
          </w:tcPr>
          <w:p>
            <w:pPr>
              <w:spacing w:after="0"/>
              <w:rPr>
                <w:sz w:val="24"/>
                <w:szCs w:val="2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4"/>
              </w:rPr>
              <w:t>Treasury</w:t>
            </w:r>
          </w:p>
        </w:tc>
        <w:tc>
          <w:tcPr>
            <w:tcW w:w="1500" w:type="dxa"/>
            <w:vAlign w:val="bottom"/>
            <w:gridSpan w:val="4"/>
          </w:tcPr>
          <w:p>
            <w:pPr>
              <w:jc w:val="center"/>
              <w:ind w:right="100"/>
              <w:spacing w:after="0"/>
              <w:rPr>
                <w:sz w:val="20"/>
                <w:szCs w:val="20"/>
                <w:color w:val="auto"/>
              </w:rPr>
            </w:pPr>
            <w:r>
              <w:rPr>
                <w:rFonts w:ascii="Arial" w:cs="Arial" w:eastAsia="Arial" w:hAnsi="Arial"/>
                <w:sz w:val="15"/>
                <w:szCs w:val="15"/>
                <w:b w:val="1"/>
                <w:bCs w:val="1"/>
                <w:color w:val="auto"/>
                <w:w w:val="91"/>
              </w:rPr>
              <w:t>Retained Earnings</w:t>
            </w:r>
          </w:p>
        </w:tc>
        <w:tc>
          <w:tcPr>
            <w:tcW w:w="140" w:type="dxa"/>
            <w:vAlign w:val="bottom"/>
          </w:tcPr>
          <w:p>
            <w:pPr>
              <w:spacing w:after="0"/>
              <w:rPr>
                <w:sz w:val="24"/>
                <w:szCs w:val="24"/>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91"/>
              </w:rPr>
              <w:t>Noncontrolling</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9"/>
              </w:rPr>
              <w:t>(Accumulated</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5"/>
                <w:szCs w:val="15"/>
                <w:b w:val="1"/>
                <w:bCs w:val="1"/>
                <w:color w:val="auto"/>
              </w:rPr>
              <w:t>Shares</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5"/>
              </w:rPr>
              <w:t>Paid-In Capital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0"/>
              <w:spacing w:after="0"/>
              <w:rPr>
                <w:sz w:val="20"/>
                <w:szCs w:val="20"/>
                <w:color w:val="auto"/>
              </w:rPr>
            </w:pPr>
            <w:r>
              <w:rPr>
                <w:rFonts w:ascii="Arial" w:cs="Arial" w:eastAsia="Arial" w:hAnsi="Arial"/>
                <w:sz w:val="15"/>
                <w:szCs w:val="15"/>
                <w:b w:val="1"/>
                <w:bCs w:val="1"/>
                <w:color w:val="auto"/>
                <w:w w:val="88"/>
              </w:rPr>
              <w:t>Stock</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15"/>
                <w:szCs w:val="15"/>
                <w:b w:val="1"/>
                <w:bCs w:val="1"/>
                <w:color w:val="auto"/>
                <w:w w:val="94"/>
              </w:rPr>
              <w:t>Deficit)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5"/>
                <w:szCs w:val="15"/>
                <w:b w:val="1"/>
                <w:bCs w:val="1"/>
                <w:color w:val="auto"/>
                <w:w w:val="95"/>
              </w:rPr>
              <w:t>Interest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8,253,491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8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restricted stock, net of</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400,292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forfeitures</w:t>
            </w: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Dividends declared ($0.45 per share)</w:t>
            </w:r>
          </w:p>
        </w:tc>
        <w:tc>
          <w:tcPr>
            <w:tcW w:w="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Purchases of treasury stock</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(205,521)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8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Restricted stock returned for payment of</w:t>
            </w:r>
          </w:p>
        </w:tc>
        <w:tc>
          <w:tcPr>
            <w:tcW w:w="20" w:type="dxa"/>
            <w:vAlign w:val="bottom"/>
            <w:vMerge w:val="restart"/>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(37,603)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2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40" w:type="dxa"/>
            <w:vAlign w:val="bottom"/>
            <w:vMerge w:val="restart"/>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taxes</w:t>
            </w:r>
          </w:p>
        </w:tc>
        <w:tc>
          <w:tcPr>
            <w:tcW w:w="20" w:type="dxa"/>
            <w:vAlign w:val="bottom"/>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Balance, September 30, 2022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8,410,659</w:t>
            </w:r>
          </w:p>
        </w:tc>
        <w:tc>
          <w:tcPr>
            <w:tcW w:w="10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199,594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(85,227)</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(970)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113,507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4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Nine Months Ended September 30,</w:t>
            </w:r>
          </w:p>
        </w:tc>
        <w:tc>
          <w:tcPr>
            <w:tcW w:w="480" w:type="dxa"/>
            <w:vAlign w:val="bottom"/>
            <w:tcBorders>
              <w:bottom w:val="single" w:sz="8" w:color="auto"/>
            </w:tcBorders>
          </w:tcPr>
          <w:p>
            <w:pPr>
              <w:spacing w:after="0"/>
              <w:rPr>
                <w:sz w:val="17"/>
                <w:szCs w:val="17"/>
                <w:color w:val="auto"/>
              </w:rPr>
            </w:pPr>
          </w:p>
        </w:tc>
      </w:tr>
      <w:tr>
        <w:trPr>
          <w:trHeight w:val="198"/>
        </w:trPr>
        <w:tc>
          <w:tcPr>
            <w:tcW w:w="79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2022</w:t>
            </w:r>
          </w:p>
        </w:tc>
        <w:tc>
          <w:tcPr>
            <w:tcW w:w="480" w:type="dxa"/>
            <w:vAlign w:val="bottom"/>
            <w:tcBorders>
              <w:bottom w:val="single" w:sz="8" w:color="auto"/>
            </w:tcBorders>
          </w:tcPr>
          <w:p>
            <w:pPr>
              <w:spacing w:after="0"/>
              <w:rPr>
                <w:sz w:val="17"/>
                <w:szCs w:val="17"/>
                <w:color w:val="auto"/>
              </w:rPr>
            </w:pPr>
          </w:p>
        </w:tc>
      </w:tr>
      <w:tr>
        <w:trPr>
          <w:trHeight w:val="185"/>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182"/>
        </w:trPr>
        <w:tc>
          <w:tcPr>
            <w:tcW w:w="7940" w:type="dxa"/>
            <w:vAlign w:val="bottom"/>
          </w:tcPr>
          <w:p>
            <w:pPr>
              <w:ind w:left="360"/>
              <w:spacing w:after="0"/>
              <w:rPr>
                <w:sz w:val="20"/>
                <w:szCs w:val="20"/>
                <w:color w:val="auto"/>
              </w:rPr>
            </w:pPr>
            <w:r>
              <w:rPr>
                <w:rFonts w:ascii="Arial" w:cs="Arial" w:eastAsia="Arial" w:hAnsi="Arial"/>
                <w:sz w:val="14"/>
                <w:szCs w:val="14"/>
                <w:color w:val="auto"/>
              </w:rPr>
              <w:t>Net income (loss)</w:t>
            </w:r>
          </w:p>
        </w:tc>
        <w:tc>
          <w:tcPr>
            <w:tcW w:w="1020" w:type="dxa"/>
            <w:vAlign w:val="bottom"/>
          </w:tcPr>
          <w:p>
            <w:pPr>
              <w:jc w:val="right"/>
              <w:ind w:right="846"/>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7,988</w:t>
            </w:r>
          </w:p>
        </w:tc>
        <w:tc>
          <w:tcPr>
            <w:tcW w:w="100" w:type="dxa"/>
            <w:vAlign w:val="bottom"/>
          </w:tcPr>
          <w:p>
            <w:pPr>
              <w:spacing w:after="0"/>
              <w:rPr>
                <w:sz w:val="15"/>
                <w:szCs w:val="15"/>
                <w:color w:val="auto"/>
              </w:rPr>
            </w:pPr>
          </w:p>
        </w:tc>
        <w:tc>
          <w:tcPr>
            <w:tcW w:w="1120" w:type="dxa"/>
            <w:vAlign w:val="bottom"/>
          </w:tcPr>
          <w:p>
            <w:pPr>
              <w:jc w:val="right"/>
              <w:ind w:right="947"/>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9"/>
              </w:rPr>
              <w:t>(1,503)</w:t>
            </w:r>
          </w:p>
        </w:tc>
      </w:tr>
      <w:tr>
        <w:trPr>
          <w:trHeight w:val="20"/>
        </w:trPr>
        <w:tc>
          <w:tcPr>
            <w:tcW w:w="7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r>
      <w:tr>
        <w:trPr>
          <w:trHeight w:val="182"/>
        </w:trPr>
        <w:tc>
          <w:tcPr>
            <w:tcW w:w="7940" w:type="dxa"/>
            <w:vAlign w:val="bottom"/>
          </w:tcPr>
          <w:p>
            <w:pPr>
              <w:ind w:left="680"/>
              <w:spacing w:after="0"/>
              <w:rPr>
                <w:sz w:val="20"/>
                <w:szCs w:val="20"/>
                <w:color w:val="auto"/>
              </w:rPr>
            </w:pPr>
            <w:r>
              <w:rPr>
                <w:rFonts w:ascii="Arial" w:cs="Arial" w:eastAsia="Arial" w:hAnsi="Arial"/>
                <w:sz w:val="14"/>
                <w:szCs w:val="14"/>
                <w:color w:val="auto"/>
              </w:rPr>
              <w:t>Depreciation</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488</w:t>
            </w:r>
          </w:p>
        </w:tc>
      </w:tr>
      <w:tr>
        <w:trPr>
          <w:trHeight w:val="20"/>
        </w:trPr>
        <w:tc>
          <w:tcPr>
            <w:tcW w:w="7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Amortization of intangible assets</w:t>
            </w: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3,106</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1,218</w:t>
            </w:r>
          </w:p>
        </w:tc>
      </w:tr>
      <w:tr>
        <w:trPr>
          <w:trHeight w:val="182"/>
        </w:trPr>
        <w:tc>
          <w:tcPr>
            <w:tcW w:w="7940" w:type="dxa"/>
            <w:vAlign w:val="bottom"/>
          </w:tcPr>
          <w:p>
            <w:pPr>
              <w:ind w:left="68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1,822</w:t>
            </w:r>
          </w:p>
        </w:tc>
      </w:tr>
      <w:tr>
        <w:trPr>
          <w:trHeight w:val="20"/>
        </w:trPr>
        <w:tc>
          <w:tcPr>
            <w:tcW w:w="7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Stock-based compensation expense</w:t>
            </w: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4,410</w:t>
            </w:r>
          </w:p>
        </w:tc>
      </w:tr>
      <w:tr>
        <w:trPr>
          <w:trHeight w:val="182"/>
        </w:trPr>
        <w:tc>
          <w:tcPr>
            <w:tcW w:w="7940" w:type="dxa"/>
            <w:vAlign w:val="bottom"/>
          </w:tcPr>
          <w:p>
            <w:pPr>
              <w:ind w:left="680"/>
              <w:spacing w:after="0"/>
              <w:rPr>
                <w:sz w:val="20"/>
                <w:szCs w:val="20"/>
                <w:color w:val="auto"/>
              </w:rPr>
            </w:pPr>
            <w:r>
              <w:rPr>
                <w:rFonts w:ascii="Arial" w:cs="Arial" w:eastAsia="Arial" w:hAnsi="Arial"/>
                <w:sz w:val="14"/>
                <w:szCs w:val="14"/>
                <w:color w:val="auto"/>
              </w:rPr>
              <w:t>Deferred income taxes</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(252)</w:t>
            </w:r>
          </w:p>
        </w:tc>
      </w:tr>
      <w:tr>
        <w:trPr>
          <w:trHeight w:val="20"/>
        </w:trPr>
        <w:tc>
          <w:tcPr>
            <w:tcW w:w="7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Non-cash lease expense</w:t>
            </w: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844</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w:t>
            </w:r>
          </w:p>
        </w:tc>
      </w:tr>
      <w:tr>
        <w:trPr>
          <w:trHeight w:val="182"/>
        </w:trPr>
        <w:tc>
          <w:tcPr>
            <w:tcW w:w="7940" w:type="dxa"/>
            <w:vAlign w:val="bottom"/>
          </w:tcPr>
          <w:p>
            <w:pPr>
              <w:ind w:left="680"/>
              <w:spacing w:after="0"/>
              <w:rPr>
                <w:sz w:val="20"/>
                <w:szCs w:val="20"/>
                <w:color w:val="auto"/>
              </w:rPr>
            </w:pPr>
            <w:r>
              <w:rPr>
                <w:rFonts w:ascii="Arial" w:cs="Arial" w:eastAsia="Arial" w:hAnsi="Arial"/>
                <w:sz w:val="14"/>
                <w:szCs w:val="14"/>
                <w:color w:val="auto"/>
              </w:rPr>
              <w:t>Loss on asset disposition</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Gain on remeasurement of lease liabilities</w:t>
            </w: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940" w:type="dxa"/>
            <w:vAlign w:val="bottom"/>
          </w:tcPr>
          <w:p>
            <w:pPr>
              <w:ind w:left="680"/>
              <w:spacing w:after="0"/>
              <w:rPr>
                <w:sz w:val="20"/>
                <w:szCs w:val="20"/>
                <w:color w:val="auto"/>
              </w:rPr>
            </w:pPr>
            <w:r>
              <w:rPr>
                <w:rFonts w:ascii="Arial" w:cs="Arial" w:eastAsia="Arial" w:hAnsi="Arial"/>
                <w:sz w:val="14"/>
                <w:szCs w:val="14"/>
                <w:color w:val="auto"/>
              </w:rPr>
              <w:t>Fair value change of contingent consideration</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(2,655)</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Gain on insurance settlement</w:t>
            </w: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940" w:type="dxa"/>
            <w:vAlign w:val="bottom"/>
          </w:tcPr>
          <w:p>
            <w:pPr>
              <w:ind w:left="360"/>
              <w:spacing w:after="0"/>
              <w:rPr>
                <w:sz w:val="20"/>
                <w:szCs w:val="20"/>
                <w:color w:val="auto"/>
              </w:rPr>
            </w:pPr>
            <w:r>
              <w:rPr>
                <w:rFonts w:ascii="Arial" w:cs="Arial" w:eastAsia="Arial" w:hAnsi="Arial"/>
                <w:sz w:val="14"/>
                <w:szCs w:val="14"/>
                <w:color w:val="auto"/>
              </w:rPr>
              <w:t>Change in operating assets and liabilities:</w:t>
            </w: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0"/>
        </w:trPr>
        <w:tc>
          <w:tcPr>
            <w:tcW w:w="7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(purchases) sales of trading securities</w:t>
            </w: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(15,626)</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12,149</w:t>
            </w:r>
          </w:p>
        </w:tc>
      </w:tr>
      <w:tr>
        <w:trPr>
          <w:trHeight w:val="182"/>
        </w:trPr>
        <w:tc>
          <w:tcPr>
            <w:tcW w:w="7940" w:type="dxa"/>
            <w:vAlign w:val="bottom"/>
          </w:tcPr>
          <w:p>
            <w:pPr>
              <w:ind w:left="680"/>
              <w:spacing w:after="0"/>
              <w:rPr>
                <w:sz w:val="20"/>
                <w:szCs w:val="20"/>
                <w:color w:val="auto"/>
              </w:rPr>
            </w:pPr>
            <w:r>
              <w:rPr>
                <w:rFonts w:ascii="Arial" w:cs="Arial" w:eastAsia="Arial" w:hAnsi="Arial"/>
                <w:sz w:val="14"/>
                <w:szCs w:val="14"/>
                <w:color w:val="auto"/>
              </w:rPr>
              <w:t>Accounts receivable</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1,355</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1,862</w:t>
            </w:r>
          </w:p>
        </w:tc>
      </w:tr>
      <w:tr>
        <w:trPr>
          <w:trHeight w:val="20"/>
        </w:trPr>
        <w:tc>
          <w:tcPr>
            <w:tcW w:w="7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Other current assets</w:t>
            </w: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w:t>
            </w:r>
          </w:p>
        </w:tc>
      </w:tr>
      <w:tr>
        <w:trPr>
          <w:trHeight w:val="182"/>
        </w:trPr>
        <w:tc>
          <w:tcPr>
            <w:tcW w:w="7940" w:type="dxa"/>
            <w:vAlign w:val="bottom"/>
          </w:tcPr>
          <w:p>
            <w:pPr>
              <w:ind w:left="680"/>
              <w:spacing w:after="0"/>
              <w:rPr>
                <w:sz w:val="20"/>
                <w:szCs w:val="20"/>
                <w:color w:val="auto"/>
              </w:rPr>
            </w:pPr>
            <w:r>
              <w:rPr>
                <w:rFonts w:ascii="Arial" w:cs="Arial" w:eastAsia="Arial" w:hAnsi="Arial"/>
                <w:sz w:val="14"/>
                <w:szCs w:val="14"/>
                <w:color w:val="auto"/>
              </w:rPr>
              <w:t>Accounts payable and accrued liabilities</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20"/>
        </w:trPr>
        <w:tc>
          <w:tcPr>
            <w:tcW w:w="7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Compensation and benefits payable</w:t>
            </w: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(3,622)</w:t>
            </w:r>
          </w:p>
        </w:tc>
      </w:tr>
      <w:tr>
        <w:trPr>
          <w:trHeight w:val="182"/>
        </w:trPr>
        <w:tc>
          <w:tcPr>
            <w:tcW w:w="7940" w:type="dxa"/>
            <w:vAlign w:val="bottom"/>
          </w:tcPr>
          <w:p>
            <w:pPr>
              <w:ind w:left="680"/>
              <w:spacing w:after="0"/>
              <w:rPr>
                <w:sz w:val="20"/>
                <w:szCs w:val="20"/>
                <w:color w:val="auto"/>
              </w:rPr>
            </w:pPr>
            <w:r>
              <w:rPr>
                <w:rFonts w:ascii="Arial" w:cs="Arial" w:eastAsia="Arial" w:hAnsi="Arial"/>
                <w:sz w:val="14"/>
                <w:szCs w:val="14"/>
                <w:color w:val="auto"/>
              </w:rPr>
              <w:t>Income taxes payable</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(810)</w:t>
            </w:r>
          </w:p>
        </w:tc>
      </w:tr>
      <w:tr>
        <w:trPr>
          <w:trHeight w:val="20"/>
        </w:trPr>
        <w:tc>
          <w:tcPr>
            <w:tcW w:w="7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3"/>
        </w:trPr>
        <w:tc>
          <w:tcPr>
            <w:tcW w:w="7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Other liabilities</w:t>
            </w:r>
          </w:p>
        </w:tc>
        <w:tc>
          <w:tcPr>
            <w:tcW w:w="10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(1,064)</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(927)</w:t>
            </w:r>
          </w:p>
        </w:tc>
      </w:tr>
      <w:tr>
        <w:trPr>
          <w:trHeight w:val="176"/>
        </w:trPr>
        <w:tc>
          <w:tcPr>
            <w:tcW w:w="7940" w:type="dxa"/>
            <w:vAlign w:val="bottom"/>
          </w:tcPr>
          <w:p>
            <w:pPr>
              <w:ind w:left="880"/>
              <w:spacing w:after="0"/>
              <w:rPr>
                <w:sz w:val="20"/>
                <w:szCs w:val="20"/>
                <w:color w:val="auto"/>
              </w:rPr>
            </w:pPr>
            <w:r>
              <w:rPr>
                <w:rFonts w:ascii="Arial" w:cs="Arial" w:eastAsia="Arial" w:hAnsi="Arial"/>
                <w:sz w:val="14"/>
                <w:szCs w:val="14"/>
                <w:color w:val="auto"/>
              </w:rPr>
              <w:t>Net cash provided by (used in) operating activities</w:t>
            </w:r>
          </w:p>
        </w:tc>
        <w:tc>
          <w:tcPr>
            <w:tcW w:w="10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(5,684)</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15,319</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82"/>
        </w:trPr>
        <w:tc>
          <w:tcPr>
            <w:tcW w:w="7940" w:type="dxa"/>
            <w:vAlign w:val="bottom"/>
          </w:tcPr>
          <w:p>
            <w:pPr>
              <w:ind w:left="360"/>
              <w:spacing w:after="0"/>
              <w:rPr>
                <w:sz w:val="20"/>
                <w:szCs w:val="20"/>
                <w:color w:val="auto"/>
              </w:rPr>
            </w:pPr>
            <w:r>
              <w:rPr>
                <w:rFonts w:ascii="Arial" w:cs="Arial" w:eastAsia="Arial" w:hAnsi="Arial"/>
                <w:sz w:val="14"/>
                <w:szCs w:val="14"/>
                <w:color w:val="auto"/>
              </w:rPr>
              <w:t>Acquisition, net of cash acquired</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 of property and equipment</w:t>
            </w: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w:t>
            </w:r>
          </w:p>
        </w:tc>
      </w:tr>
      <w:tr>
        <w:trPr>
          <w:trHeight w:val="182"/>
        </w:trPr>
        <w:tc>
          <w:tcPr>
            <w:tcW w:w="7940" w:type="dxa"/>
            <w:vAlign w:val="bottom"/>
          </w:tcPr>
          <w:p>
            <w:pPr>
              <w:ind w:left="360"/>
              <w:spacing w:after="0"/>
              <w:rPr>
                <w:sz w:val="20"/>
                <w:szCs w:val="20"/>
                <w:color w:val="auto"/>
              </w:rPr>
            </w:pPr>
            <w:r>
              <w:rPr>
                <w:rFonts w:ascii="Arial" w:cs="Arial" w:eastAsia="Arial" w:hAnsi="Arial"/>
                <w:sz w:val="14"/>
                <w:szCs w:val="14"/>
                <w:color w:val="auto"/>
              </w:rPr>
              <w:t>Insurance settlement proceeds</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96"/>
        </w:trPr>
        <w:tc>
          <w:tcPr>
            <w:tcW w:w="79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Net cash provided by (used in) investing activities</w:t>
            </w:r>
          </w:p>
        </w:tc>
        <w:tc>
          <w:tcPr>
            <w:tcW w:w="10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w:t>
            </w:r>
          </w:p>
        </w:tc>
      </w:tr>
      <w:tr>
        <w:trPr>
          <w:trHeight w:val="174"/>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r>
      <w:tr>
        <w:trPr>
          <w:trHeight w:val="191"/>
        </w:trPr>
        <w:tc>
          <w:tcPr>
            <w:tcW w:w="7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Purchases of treasury stock</w:t>
            </w:r>
          </w:p>
        </w:tc>
        <w:tc>
          <w:tcPr>
            <w:tcW w:w="10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(2,851)</w:t>
            </w:r>
          </w:p>
        </w:tc>
      </w:tr>
      <w:tr>
        <w:trPr>
          <w:trHeight w:val="182"/>
        </w:trPr>
        <w:tc>
          <w:tcPr>
            <w:tcW w:w="7940" w:type="dxa"/>
            <w:vAlign w:val="bottom"/>
          </w:tcPr>
          <w:p>
            <w:pPr>
              <w:ind w:left="360"/>
              <w:spacing w:after="0"/>
              <w:rPr>
                <w:sz w:val="20"/>
                <w:szCs w:val="20"/>
                <w:color w:val="auto"/>
              </w:rPr>
            </w:pPr>
            <w:r>
              <w:rPr>
                <w:rFonts w:ascii="Arial" w:cs="Arial" w:eastAsia="Arial" w:hAnsi="Arial"/>
                <w:sz w:val="14"/>
                <w:szCs w:val="14"/>
                <w:color w:val="auto"/>
              </w:rPr>
              <w:t>Restricted stock returned for payment of taxes</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(626)</w:t>
            </w:r>
          </w:p>
        </w:tc>
      </w:tr>
      <w:tr>
        <w:trPr>
          <w:trHeight w:val="20"/>
        </w:trPr>
        <w:tc>
          <w:tcPr>
            <w:tcW w:w="7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3"/>
        </w:trPr>
        <w:tc>
          <w:tcPr>
            <w:tcW w:w="7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dividends paid</w:t>
            </w:r>
          </w:p>
        </w:tc>
        <w:tc>
          <w:tcPr>
            <w:tcW w:w="10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(4,274)</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(4,459)</w:t>
            </w:r>
          </w:p>
        </w:tc>
      </w:tr>
      <w:tr>
        <w:trPr>
          <w:trHeight w:val="176"/>
        </w:trPr>
        <w:tc>
          <w:tcPr>
            <w:tcW w:w="7940" w:type="dxa"/>
            <w:vAlign w:val="bottom"/>
          </w:tcPr>
          <w:p>
            <w:pPr>
              <w:ind w:left="880"/>
              <w:spacing w:after="0"/>
              <w:rPr>
                <w:sz w:val="20"/>
                <w:szCs w:val="20"/>
                <w:color w:val="auto"/>
              </w:rPr>
            </w:pPr>
            <w:r>
              <w:rPr>
                <w:rFonts w:ascii="Arial" w:cs="Arial" w:eastAsia="Arial" w:hAnsi="Arial"/>
                <w:sz w:val="14"/>
                <w:szCs w:val="14"/>
                <w:color w:val="auto"/>
              </w:rPr>
              <w:t>Net cash used in financing activities</w:t>
            </w:r>
          </w:p>
        </w:tc>
        <w:tc>
          <w:tcPr>
            <w:tcW w:w="10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(5,137)</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(7,936)</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9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currency rate changes on cash</w:t>
            </w:r>
          </w:p>
        </w:tc>
        <w:tc>
          <w:tcPr>
            <w:tcW w:w="10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76"/>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0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(6,681)</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7,264</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9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0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23,859</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15,206</w:t>
            </w:r>
          </w:p>
        </w:tc>
      </w:tr>
      <w:tr>
        <w:trPr>
          <w:trHeight w:val="169"/>
        </w:trPr>
        <w:tc>
          <w:tcPr>
            <w:tcW w:w="79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020" w:type="dxa"/>
            <w:vAlign w:val="bottom"/>
            <w:tcBorders>
              <w:top w:val="single" w:sz="8" w:color="auto"/>
              <w:bottom w:val="single" w:sz="8" w:color="auto"/>
            </w:tcBorders>
          </w:tcPr>
          <w:p>
            <w:pPr>
              <w:jc w:val="right"/>
              <w:ind w:right="846"/>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17,178</w:t>
            </w:r>
          </w:p>
        </w:tc>
        <w:tc>
          <w:tcPr>
            <w:tcW w:w="1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947"/>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22,470</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6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10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82"/>
        </w:trPr>
        <w:tc>
          <w:tcPr>
            <w:tcW w:w="7940" w:type="dxa"/>
            <w:vAlign w:val="bottom"/>
          </w:tcPr>
          <w:p>
            <w:pPr>
              <w:ind w:left="360"/>
              <w:spacing w:after="0"/>
              <w:rPr>
                <w:sz w:val="20"/>
                <w:szCs w:val="20"/>
                <w:color w:val="auto"/>
              </w:rPr>
            </w:pPr>
            <w:r>
              <w:rPr>
                <w:rFonts w:ascii="Arial" w:cs="Arial" w:eastAsia="Arial" w:hAnsi="Arial"/>
                <w:sz w:val="14"/>
                <w:szCs w:val="14"/>
                <w:color w:val="auto"/>
              </w:rPr>
              <w:t>Cash paid during the period for income taxes</w:t>
            </w:r>
          </w:p>
        </w:tc>
        <w:tc>
          <w:tcPr>
            <w:tcW w:w="1020" w:type="dxa"/>
            <w:vAlign w:val="bottom"/>
          </w:tcPr>
          <w:p>
            <w:pPr>
              <w:jc w:val="right"/>
              <w:ind w:right="846"/>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5"/>
                <w:szCs w:val="15"/>
                <w:color w:val="auto"/>
              </w:rPr>
            </w:pPr>
          </w:p>
        </w:tc>
        <w:tc>
          <w:tcPr>
            <w:tcW w:w="1120" w:type="dxa"/>
            <w:vAlign w:val="bottom"/>
          </w:tcPr>
          <w:p>
            <w:pPr>
              <w:jc w:val="right"/>
              <w:ind w:right="947"/>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1,807</w:t>
            </w:r>
          </w:p>
        </w:tc>
      </w:tr>
      <w:tr>
        <w:trPr>
          <w:trHeight w:val="20"/>
        </w:trPr>
        <w:tc>
          <w:tcPr>
            <w:tcW w:w="7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dividends</w:t>
            </w:r>
          </w:p>
        </w:tc>
        <w:tc>
          <w:tcPr>
            <w:tcW w:w="1020" w:type="dxa"/>
            <w:vAlign w:val="bottom"/>
            <w:tcBorders>
              <w:bottom w:val="single" w:sz="8" w:color="CCEEFF"/>
            </w:tcBorders>
            <w:shd w:val="clear" w:color="auto" w:fill="CCEEFF"/>
          </w:tcPr>
          <w:p>
            <w:pPr>
              <w:jc w:val="right"/>
              <w:ind w:right="846"/>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94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2,280</w:t>
            </w:r>
          </w:p>
        </w:tc>
      </w:tr>
      <w:tr>
        <w:trPr>
          <w:trHeight w:val="195"/>
        </w:trPr>
        <w:tc>
          <w:tcPr>
            <w:tcW w:w="7940" w:type="dxa"/>
            <w:vAlign w:val="bottom"/>
          </w:tcPr>
          <w:p>
            <w:pPr>
              <w:ind w:left="360"/>
              <w:spacing w:after="0"/>
              <w:rPr>
                <w:sz w:val="20"/>
                <w:szCs w:val="20"/>
                <w:color w:val="auto"/>
              </w:rPr>
            </w:pPr>
            <w:r>
              <w:rPr>
                <w:rFonts w:ascii="Arial" w:cs="Arial" w:eastAsia="Arial" w:hAnsi="Arial"/>
                <w:sz w:val="15"/>
                <w:szCs w:val="15"/>
                <w:color w:val="auto"/>
              </w:rPr>
              <w:t>Additional operating lease right-of-use assets</w:t>
            </w:r>
          </w:p>
        </w:tc>
        <w:tc>
          <w:tcPr>
            <w:tcW w:w="1020" w:type="dxa"/>
            <w:vAlign w:val="bottom"/>
          </w:tcPr>
          <w:p>
            <w:pPr>
              <w:jc w:val="right"/>
              <w:ind w:right="846"/>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947"/>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1,217</w:t>
            </w: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 w:name="page8"/>
    <w:bookmarkEnd w:id="7"/>
    <w:p>
      <w:pPr>
        <w:jc w:val="center"/>
        <w:ind w:left="340" w:right="266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Westwood Advisors, L.L.C. Salient Advisors, LP ("Salient") and its majority-owned subsidiary Broadmark Asset Management LLC ("Broadmark"), (referred to hereinafter together as “Westwood Management”), and Westwood Trust.</w:t>
      </w:r>
    </w:p>
    <w:p>
      <w:pPr>
        <w:spacing w:after="0" w:line="7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Westwood Management provides investment advisory services to institutional clients, a family of mutual funds called the Westwood Funds®, other mutual funds,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and assets under advisement ("AUA"), and fluctuations in financial markets and in the composition of AUM and AUA impact our revenues and results of operations.</w:t>
      </w:r>
    </w:p>
    <w:p>
      <w:pPr>
        <w:spacing w:after="0" w:line="8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Westwood Management is registered with the Securities and Exchange Commission ("SEC") as an investment adviser ("RIA") under the Investment Advisers Act of 1940. Westwood Trust is chartered and regulated by the Texas Department of Banking.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Broadmark Asset Management LLC</w:t>
      </w:r>
    </w:p>
    <w:p>
      <w:pPr>
        <w:spacing w:after="0" w:line="121" w:lineRule="exact"/>
        <w:rPr>
          <w:sz w:val="20"/>
          <w:szCs w:val="20"/>
          <w:color w:val="auto"/>
        </w:rPr>
      </w:pPr>
    </w:p>
    <w:p>
      <w:pPr>
        <w:ind w:right="240" w:firstLine="486"/>
        <w:spacing w:after="0" w:line="311" w:lineRule="auto"/>
        <w:rPr>
          <w:sz w:val="20"/>
          <w:szCs w:val="20"/>
          <w:color w:val="auto"/>
        </w:rPr>
      </w:pPr>
      <w:r>
        <w:rPr>
          <w:rFonts w:ascii="Arial" w:cs="Arial" w:eastAsia="Arial" w:hAnsi="Arial"/>
          <w:sz w:val="16"/>
          <w:szCs w:val="16"/>
          <w:color w:val="auto"/>
        </w:rPr>
        <w:t>In January 2023 we acquired an additional 32% interest in Broadmark for $1.2 million (net of cash acquired), increasing our ownership of Broadmark to approximately 80%, which represents a controlling interest for financial statement consolidation purposes (the "Broadmark Acquisition"). Broadmark is a San Francisco-based RIA managing and/or sub-advising mutual funds, retail and institutional separately-managed accounts.</w:t>
      </w:r>
    </w:p>
    <w:p>
      <w:pPr>
        <w:spacing w:after="0" w:line="37" w:lineRule="exact"/>
        <w:rPr>
          <w:sz w:val="20"/>
          <w:szCs w:val="20"/>
          <w:color w:val="auto"/>
        </w:rPr>
      </w:pPr>
    </w:p>
    <w:p>
      <w:pPr>
        <w:ind w:left="40" w:right="6340" w:hanging="32"/>
        <w:spacing w:after="0" w:line="377" w:lineRule="auto"/>
        <w:tabs>
          <w:tab w:leader="none" w:pos="18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w:t>
      </w:r>
    </w:p>
    <w:p>
      <w:pPr>
        <w:spacing w:after="0" w:line="84" w:lineRule="exact"/>
        <w:rPr>
          <w:sz w:val="20"/>
          <w:szCs w:val="20"/>
          <w:color w:val="auto"/>
        </w:rPr>
      </w:pPr>
    </w:p>
    <w:p>
      <w:pPr>
        <w:ind w:right="320" w:firstLine="486"/>
        <w:spacing w:after="0" w:line="257"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2022.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76" w:lineRule="exact"/>
        <w:rPr>
          <w:sz w:val="20"/>
          <w:szCs w:val="20"/>
          <w:color w:val="auto"/>
        </w:rPr>
      </w:pPr>
    </w:p>
    <w:p>
      <w:pPr>
        <w:ind w:right="868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Broadmark</w:t>
      </w:r>
    </w:p>
    <w:p>
      <w:pPr>
        <w:jc w:val="center"/>
        <w:ind w:right="180"/>
        <w:spacing w:after="0"/>
        <w:rPr>
          <w:sz w:val="20"/>
          <w:szCs w:val="20"/>
          <w:color w:val="auto"/>
        </w:rPr>
      </w:pPr>
      <w:r>
        <w:rPr>
          <w:rFonts w:ascii="Arial" w:cs="Arial" w:eastAsia="Arial" w:hAnsi="Arial"/>
          <w:sz w:val="18"/>
          <w:szCs w:val="18"/>
          <w:color w:val="auto"/>
        </w:rPr>
        <w:t>Westwood completed the Broadmark Acquisition in January 2023, giving Westwood a controlling interest and requiring an allocation of the</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Broadmark Acquisition purchase price. The total consideration recorded for accounting purposes consisted of $1.2 million in cash (net of cash acquired).</w:t>
      </w:r>
    </w:p>
    <w:p>
      <w:pPr>
        <w:spacing w:after="0" w:line="126"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Prior to the Broadmark Acquisition, Westwood had a $2.4 million equity method investment in Broadmark, the fair value of which was estimated using recent market transactions. Westwood's equity method investment was derecognized without gain or loss following the Broadmark Acquisition, however there was a corresponding increase to goodwill.</w:t>
      </w:r>
    </w:p>
    <w:p>
      <w:pPr>
        <w:spacing w:after="0" w:line="7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Broadmark Acquisition was accounted for using the acquisition method of accounting. Accordingly, the purchase price was allocated to tangible assets acquired and liabilities assumed based on their estimated fair values as of the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 date. The total consideration of $1.6 million has been allocated based on valuations of acquired assets and assumed liabilities in connection with the acquisition.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allocation of the Broadmark Acquisition purchase price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consideration</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w:t>
            </w:r>
          </w:p>
        </w:tc>
      </w:tr>
      <w:tr>
        <w:trPr>
          <w:trHeight w:val="213"/>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acquired</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r>
      <w:tr>
        <w:trPr>
          <w:trHeight w:val="212"/>
        </w:trPr>
        <w:tc>
          <w:tcPr>
            <w:tcW w:w="93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consideration, net of cash acquired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r>
      <w:tr>
        <w:trPr>
          <w:trHeight w:val="257"/>
        </w:trPr>
        <w:tc>
          <w:tcPr>
            <w:tcW w:w="9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6"/>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Westwood's investment in Broadmark before the business combination</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Fair value of noncontrolling interest in Broadmark</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994</w:t>
            </w:r>
          </w:p>
        </w:tc>
      </w:tr>
      <w:tr>
        <w:trPr>
          <w:trHeight w:val="260"/>
        </w:trPr>
        <w:tc>
          <w:tcPr>
            <w:tcW w:w="9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511</w:t>
            </w: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r>
      <w:tr>
        <w:trPr>
          <w:trHeight w:val="209"/>
        </w:trPr>
        <w:tc>
          <w:tcPr>
            <w:tcW w:w="93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Identifiable Net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39"/>
        </w:trPr>
        <w:tc>
          <w:tcPr>
            <w:tcW w:w="9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6"/>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4,197</w:t>
            </w:r>
          </w:p>
        </w:tc>
      </w:tr>
    </w:tbl>
    <w:p>
      <w:pPr>
        <w:spacing w:after="0" w:line="200" w:lineRule="exact"/>
        <w:rPr>
          <w:sz w:val="20"/>
          <w:szCs w:val="20"/>
          <w:color w:val="auto"/>
        </w:rPr>
      </w:pPr>
    </w:p>
    <w:p>
      <w:pPr>
        <w:spacing w:after="0" w:line="33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Westwood owns approximately 80% of Broadmark's equity and recognized approximately $1.0 million of a noncontrolling interest in a consolidated subsidiary. Fair value of this interest was estimated using recent market transactions.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the time of the Broadmark Acquisition, the Company believed that its expanded operational opportunities, enhanced range of investment strategies and expected realization of synergies were the primary factors that contributed to a total purchase price that resulted in the recognition of goodwill. Goodwill arising from the Broadmark acquisition is not expected to be deductible for tax purposes.</w:t>
      </w:r>
    </w:p>
    <w:p>
      <w:pPr>
        <w:spacing w:after="0" w:line="7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For the three months ended September 30, 2023, the Company has included $1.1 million of revenue and $4.0 million of net income related to Broadmark in its Condensed Consolidated Statements of Comprehensive Income (Loss). For the nine months ended September 30, 2023, the Company has included $3.4 million of revenue and $4.1 million of net income related to Broadmark in its Condensed Consolidated Statements of Comprehensive Income (Loss).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12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following unaudited pro forma results of operations for the three and nine months ended September 30, 2023 and 2022 assume the Broadmark Acquisition had occurred as of January 1, 2022. This unaudited pro forma information should not be relied upon as being necessarily indicative of historical results that would have been obtained had the Broadmark Acquisition actually occurred on that date, nor of results that may be obtained in the future.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3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560" w:type="dxa"/>
            <w:vAlign w:val="bottom"/>
            <w:tcBorders>
              <w:bottom w:val="single" w:sz="8" w:color="auto"/>
            </w:tcBorders>
          </w:tcPr>
          <w:p>
            <w:pPr>
              <w:spacing w:after="0"/>
              <w:rPr>
                <w:sz w:val="18"/>
                <w:szCs w:val="18"/>
                <w:color w:val="auto"/>
              </w:rPr>
            </w:pPr>
          </w:p>
        </w:tc>
      </w:tr>
      <w:tr>
        <w:trPr>
          <w:trHeight w:val="21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r>
      <w:tr>
        <w:trPr>
          <w:trHeight w:val="212"/>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21,880</w:t>
            </w:r>
          </w:p>
        </w:tc>
        <w:tc>
          <w:tcPr>
            <w:tcW w:w="130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16,492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66,552</w:t>
            </w:r>
          </w:p>
        </w:tc>
        <w:tc>
          <w:tcPr>
            <w:tcW w:w="130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51,608</w:t>
            </w: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3,952</w:t>
            </w:r>
          </w:p>
        </w:tc>
        <w:tc>
          <w:tcPr>
            <w:tcW w:w="130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4,576</w:t>
            </w:r>
          </w:p>
        </w:tc>
        <w:tc>
          <w:tcPr>
            <w:tcW w:w="10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7,565</w:t>
            </w:r>
          </w:p>
        </w:tc>
        <w:tc>
          <w:tcPr>
            <w:tcW w:w="130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7,173</w:t>
            </w:r>
          </w:p>
        </w:tc>
      </w:tr>
    </w:tbl>
    <w:p>
      <w:pPr>
        <w:spacing w:after="0" w:line="177" w:lineRule="exact"/>
        <w:rPr>
          <w:sz w:val="20"/>
          <w:szCs w:val="20"/>
          <w:color w:val="auto"/>
        </w:rPr>
      </w:pPr>
    </w:p>
    <w:p>
      <w:pPr>
        <w:ind w:right="9600" w:firstLine="8"/>
        <w:spacing w:after="0" w:line="425"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Revenue Recognition</w:t>
      </w:r>
    </w:p>
    <w:p>
      <w:pPr>
        <w:ind w:right="20" w:firstLine="486"/>
        <w:spacing w:after="0" w:line="259" w:lineRule="auto"/>
        <w:rPr>
          <w:sz w:val="20"/>
          <w:szCs w:val="20"/>
          <w:color w:val="auto"/>
        </w:rPr>
      </w:pPr>
      <w:r>
        <w:rPr>
          <w:rFonts w:ascii="Arial" w:cs="Arial" w:eastAsia="Arial" w:hAnsi="Arial"/>
          <w:sz w:val="18"/>
          <w:szCs w:val="18"/>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money investments into new investment strategies. The "Other, net” revenues on our Condensed Consolidated Statements of Comprehensive Income (Loss)</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are the unrealized gains and losses on our seed money investments, and our seed money investments are included in "Investments, at fair value" on our Condensed Consolidated Balance Sheets. Advisory and trust fees are calculated based on a percentage of AUM or AUA, as applicable, and the performance obligation is realized over the current calendar quarter. Once clients receive our investment advisory services, we have an enforceable right to payment.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 Revenues</w:t>
      </w:r>
    </w:p>
    <w:p>
      <w:pPr>
        <w:spacing w:after="0" w:line="12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8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RIAs that offer Westwood products to their customers.</w:t>
      </w:r>
    </w:p>
    <w:p>
      <w:pPr>
        <w:spacing w:after="0" w:line="79"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Performance-Based Obligations</w:t>
      </w:r>
    </w:p>
    <w:p>
      <w:pPr>
        <w:spacing w:after="0" w:line="121"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spacing w:after="0" w:line="76"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Fee Revenues</w:t>
      </w:r>
    </w:p>
    <w:p>
      <w:pPr>
        <w:spacing w:after="0" w:line="121"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fee revenues.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taxes are excluded from revenues. The following table presents our revenue disaggregated by account type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376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Pr>
          <w:p>
            <w:pPr>
              <w:spacing w:after="0"/>
              <w:rPr>
                <w:sz w:val="18"/>
                <w:szCs w:val="18"/>
                <w:color w:val="auto"/>
              </w:rPr>
            </w:pPr>
          </w:p>
        </w:tc>
        <w:tc>
          <w:tcPr>
            <w:tcW w:w="32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10"/>
        </w:trPr>
        <w:tc>
          <w:tcPr>
            <w:tcW w:w="39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2022</w:t>
            </w:r>
          </w:p>
        </w:tc>
      </w:tr>
      <w:tr>
        <w:trPr>
          <w:trHeight w:val="21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Advisory Fees: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3940" w:type="dxa"/>
            <w:vAlign w:val="bottom"/>
          </w:tcPr>
          <w:p>
            <w:pPr>
              <w:ind w:left="360"/>
              <w:spacing w:after="0"/>
              <w:rPr>
                <w:sz w:val="20"/>
                <w:szCs w:val="20"/>
                <w:color w:val="auto"/>
              </w:rPr>
            </w:pPr>
            <w:r>
              <w:rPr>
                <w:rFonts w:ascii="Arial" w:cs="Arial" w:eastAsia="Arial" w:hAnsi="Arial"/>
                <w:sz w:val="18"/>
                <w:szCs w:val="18"/>
                <w:color w:val="auto"/>
              </w:rPr>
              <w:t>Institutional</w:t>
            </w:r>
          </w:p>
        </w:tc>
        <w:tc>
          <w:tcPr>
            <w:tcW w:w="1080" w:type="dxa"/>
            <w:vAlign w:val="bottom"/>
          </w:tcPr>
          <w:p>
            <w:pPr>
              <w:jc w:val="right"/>
              <w:ind w:right="89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9,319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6,247</w:t>
            </w:r>
          </w:p>
        </w:tc>
        <w:tc>
          <w:tcPr>
            <w:tcW w:w="2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28,365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19,928</w:t>
            </w:r>
          </w:p>
        </w:tc>
      </w:tr>
      <w:tr>
        <w:trPr>
          <w:trHeight w:val="230"/>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Mutual Funds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12,718</w:t>
            </w:r>
          </w:p>
        </w:tc>
      </w:tr>
      <w:tr>
        <w:trPr>
          <w:trHeight w:val="229"/>
        </w:trPr>
        <w:tc>
          <w:tcPr>
            <w:tcW w:w="3940" w:type="dxa"/>
            <w:vAlign w:val="bottom"/>
          </w:tcPr>
          <w:p>
            <w:pPr>
              <w:ind w:left="360"/>
              <w:spacing w:after="0"/>
              <w:rPr>
                <w:sz w:val="20"/>
                <w:szCs w:val="20"/>
                <w:color w:val="auto"/>
              </w:rPr>
            </w:pPr>
            <w:r>
              <w:rPr>
                <w:rFonts w:ascii="Arial" w:cs="Arial" w:eastAsia="Arial" w:hAnsi="Arial"/>
                <w:sz w:val="18"/>
                <w:szCs w:val="18"/>
                <w:color w:val="auto"/>
              </w:rPr>
              <w:t>Wealth Management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29"/>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Performance-based</w:t>
            </w:r>
          </w:p>
        </w:tc>
        <w:tc>
          <w:tcPr>
            <w:tcW w:w="10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Trust Fees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5,177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16,257</w:t>
            </w: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23"/>
        </w:trPr>
        <w:tc>
          <w:tcPr>
            <w:tcW w:w="39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21,880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15,406</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66,552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48,225</w:t>
            </w:r>
          </w:p>
        </w:tc>
      </w:tr>
      <w:tr>
        <w:trPr>
          <w:trHeight w:val="20"/>
        </w:trPr>
        <w:tc>
          <w:tcPr>
            <w:tcW w:w="3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We serve clients primarily in the United States, as well as in certain international locations. The following table presents our revenue disaggregated by our clients' geographical locations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Three Months Ended September 30, 2023</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21,602</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0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Three Months Ended September 30, 2022</w:t>
            </w:r>
          </w:p>
        </w:tc>
        <w:tc>
          <w:tcPr>
            <w:tcW w:w="2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15,121</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15,406</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767"/>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Nine Months Ended September 30, 2023</w:t>
            </w:r>
          </w:p>
        </w:tc>
        <w:tc>
          <w:tcPr>
            <w:tcW w:w="2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65,706</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16"/>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Nine Months Ended September 30, 2022</w:t>
            </w:r>
          </w:p>
        </w:tc>
        <w:tc>
          <w:tcPr>
            <w:tcW w:w="2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47,346</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REPORTING</w:t>
      </w:r>
    </w:p>
    <w:p>
      <w:pPr>
        <w:spacing w:after="0" w:line="175"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w:t>
      </w:r>
    </w:p>
    <w:p>
      <w:pPr>
        <w:spacing w:after="0" w:line="13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Westwood’s chief operating decision maker, our Chief Executive Officer, evaluates the performance of our segments based primarily on fee revenues and Economic Earnings, a non-GAAP measurement. We define Economic Earnings as net income (loss)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5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ultimately require replacement. In addition, we do not adjust Economic Earnings for tax deductions related to restricted stock expense or amortization of intangible assets.</w:t>
      </w:r>
    </w:p>
    <w:p>
      <w:pPr>
        <w:spacing w:after="0" w:line="11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12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 Westwood Management, Salient and Broadmark provide investment advisory services to similar clients and are included in our Advisory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Trust provides trust and custodial services and participation in common trust funds that it sponsors to institutions and high net worth individuals.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Westwood Trust is included in our Trust segment.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6"/>
                <w:szCs w:val="16"/>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Advisory</w:t>
            </w:r>
          </w:p>
        </w:tc>
        <w:tc>
          <w:tcPr>
            <w:tcW w:w="220" w:type="dxa"/>
            <w:vAlign w:val="bottom"/>
          </w:tcPr>
          <w:p>
            <w:pPr>
              <w:spacing w:after="0"/>
              <w:rPr>
                <w:sz w:val="16"/>
                <w:szCs w:val="16"/>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Trust</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Westwood</w:t>
            </w:r>
          </w:p>
        </w:tc>
        <w:tc>
          <w:tcPr>
            <w:tcW w:w="160" w:type="dxa"/>
            <w:vAlign w:val="bottom"/>
          </w:tcPr>
          <w:p>
            <w:pPr>
              <w:spacing w:after="0"/>
              <w:rPr>
                <w:sz w:val="16"/>
                <w:szCs w:val="16"/>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6"/>
                <w:szCs w:val="16"/>
                <w:color w:val="auto"/>
              </w:rPr>
            </w:pPr>
          </w:p>
        </w:tc>
        <w:tc>
          <w:tcPr>
            <w:tcW w:w="114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3"/>
        </w:trPr>
        <w:tc>
          <w:tcPr>
            <w:tcW w:w="5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Holdings</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2023</w:t>
            </w: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16,902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21,965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intersegment revenues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2023 segment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150,751</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6"/>
                <w:szCs w:val="16"/>
                <w:color w:val="auto"/>
              </w:rPr>
              <w:t>September 30, 2023 segment 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23,100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39,501</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Three Months Ended September 30, 2022</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15,651</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Net intersegment revenues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15,406</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September 30, 2022 segment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227,781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48,600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(174,070)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130,987</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2022 segment 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6"/>
                <w:szCs w:val="16"/>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Advisory</w:t>
            </w:r>
          </w:p>
        </w:tc>
        <w:tc>
          <w:tcPr>
            <w:tcW w:w="220" w:type="dxa"/>
            <w:vAlign w:val="bottom"/>
          </w:tcPr>
          <w:p>
            <w:pPr>
              <w:spacing w:after="0"/>
              <w:rPr>
                <w:sz w:val="16"/>
                <w:szCs w:val="16"/>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Trust</w:t>
            </w:r>
          </w:p>
        </w:tc>
        <w:tc>
          <w:tcPr>
            <w:tcW w:w="14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Westwood</w:t>
            </w:r>
          </w:p>
        </w:tc>
        <w:tc>
          <w:tcPr>
            <w:tcW w:w="160" w:type="dxa"/>
            <w:vAlign w:val="bottom"/>
          </w:tcPr>
          <w:p>
            <w:pPr>
              <w:spacing w:after="0"/>
              <w:rPr>
                <w:sz w:val="16"/>
                <w:szCs w:val="16"/>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6"/>
                <w:szCs w:val="16"/>
                <w:color w:val="auto"/>
              </w:rPr>
            </w:pPr>
          </w:p>
        </w:tc>
        <w:tc>
          <w:tcPr>
            <w:tcW w:w="114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3"/>
        </w:trPr>
        <w:tc>
          <w:tcPr>
            <w:tcW w:w="5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Holdings</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2023</w:t>
            </w: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51,289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66,407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intersegment revenues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33,244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49,501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intersegment revenues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has made strategic investments to enhance the services we provide to our customers. Each of these investments is discussed below.</w:t>
      </w:r>
    </w:p>
    <w:p>
      <w:pPr>
        <w:spacing w:after="0" w:line="140"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u w:val="single" w:color="auto"/>
          <w:color w:val="auto"/>
        </w:rPr>
        <w:t>InvestCloud</w:t>
      </w:r>
      <w:r>
        <w:rPr>
          <w:rFonts w:ascii="Arial" w:cs="Arial" w:eastAsia="Arial" w:hAnsi="Arial"/>
          <w:sz w:val="16"/>
          <w:szCs w:val="16"/>
          <w:color w:val="auto"/>
        </w:rPr>
        <w:t>. We made a strategic investment during 2018 in InvestCloud, which is included in “Investments” on our Condensed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 Following InvestCloud's recapitalization in the first quarter of 2021, we re-invested $4.4 million of our proceeds into newly-issued shares of InvestCloud.</w:t>
      </w:r>
    </w:p>
    <w:p>
      <w:pPr>
        <w:spacing w:after="0" w:line="49" w:lineRule="exact"/>
        <w:rPr>
          <w:sz w:val="20"/>
          <w:szCs w:val="20"/>
          <w:color w:val="auto"/>
        </w:rPr>
      </w:pPr>
    </w:p>
    <w:p>
      <w:pPr>
        <w:jc w:val="both"/>
        <w:ind w:right="460" w:firstLine="486"/>
        <w:spacing w:after="0" w:line="263" w:lineRule="auto"/>
        <w:rPr>
          <w:sz w:val="20"/>
          <w:szCs w:val="20"/>
          <w:color w:val="auto"/>
        </w:rPr>
      </w:pPr>
      <w:r>
        <w:rPr>
          <w:rFonts w:ascii="Arial" w:cs="Arial" w:eastAsia="Arial" w:hAnsi="Arial"/>
          <w:sz w:val="18"/>
          <w:szCs w:val="18"/>
          <w:u w:val="single" w:color="auto"/>
          <w:color w:val="auto"/>
        </w:rPr>
        <w:t>Charis</w:t>
      </w:r>
      <w:r>
        <w:rPr>
          <w:rFonts w:ascii="Arial" w:cs="Arial" w:eastAsia="Arial" w:hAnsi="Arial"/>
          <w:sz w:val="18"/>
          <w:szCs w:val="18"/>
          <w:color w:val="auto"/>
        </w:rPr>
        <w:t>. Our investment in Charis was included in “Noncurrent investments at fair value” on our December 31, 2022 Condensed Consolidated Balance Sheets and was measured at fair value on a recurring basis. On April 3, 2023, Charis was acquired by Vista Bank ("Vista") in a transaction in which the Company traded its shares in Charis for shares in Vista.</w:t>
      </w:r>
    </w:p>
    <w:p>
      <w:pPr>
        <w:spacing w:after="0" w:line="76"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u w:val="single" w:color="auto"/>
          <w:color w:val="auto"/>
        </w:rPr>
        <w:t>Vista</w:t>
      </w:r>
      <w:r>
        <w:rPr>
          <w:rFonts w:ascii="Arial" w:cs="Arial" w:eastAsia="Arial" w:hAnsi="Arial"/>
          <w:sz w:val="18"/>
          <w:szCs w:val="18"/>
          <w:color w:val="auto"/>
        </w:rPr>
        <w:t>. Our investment in Vista is included in “Investments” on our Condensed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w:t>
      </w:r>
    </w:p>
    <w:p>
      <w:pPr>
        <w:spacing w:after="0" w:line="76"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u w:val="single" w:color="auto"/>
          <w:color w:val="auto"/>
        </w:rPr>
        <w:t>Private Equity Funding</w:t>
      </w:r>
      <w:r>
        <w:rPr>
          <w:rFonts w:ascii="Arial" w:cs="Arial" w:eastAsia="Arial" w:hAnsi="Arial"/>
          <w:sz w:val="18"/>
          <w:szCs w:val="18"/>
          <w:color w:val="auto"/>
        </w:rPr>
        <w:t>. In 2019, we made a $0.3 million investment in Westwood Hospitality. Our investment is included in “Noncurrent investments at fair value” on our Condensed Consolidated Balance Sheets and is measured at fair value on a recurring basis using net asset value ("NAV") as a practical expedient.</w:t>
      </w:r>
    </w:p>
    <w:p>
      <w:pPr>
        <w:spacing w:after="0" w:line="76"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u w:val="single" w:color="auto"/>
          <w:color w:val="auto"/>
        </w:rPr>
        <w:t>Zarvona Energy Fund GP, L.P. and Zarvona Energy Fund II-A, L.P.</w:t>
      </w:r>
      <w:r>
        <w:rPr>
          <w:rFonts w:ascii="Arial" w:cs="Arial" w:eastAsia="Arial" w:hAnsi="Arial"/>
          <w:sz w:val="18"/>
          <w:szCs w:val="18"/>
          <w:color w:val="auto"/>
        </w:rPr>
        <w:t xml:space="preserve"> These investments represent ownership interests in non-controlled partnerships. These investments are included in “Equity method investments” on our Condensed Consolidated Balance Sheets and are measured based on our share of the net earnings or losses of the investees.</w:t>
      </w:r>
    </w:p>
    <w:p>
      <w:pPr>
        <w:spacing w:after="0" w:line="7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u w:val="single" w:color="auto"/>
          <w:color w:val="auto"/>
        </w:rPr>
        <w:t>Broadmark Asset Management LLC</w:t>
      </w:r>
      <w:r>
        <w:rPr>
          <w:rFonts w:ascii="Arial" w:cs="Arial" w:eastAsia="Arial" w:hAnsi="Arial"/>
          <w:sz w:val="18"/>
          <w:szCs w:val="18"/>
          <w:color w:val="auto"/>
        </w:rPr>
        <w:t>. This investment represented a 47.5% ownership interest in a non-controlled corporation prior to the Broadmark Acquisition in 2023. This investment is included in “Equity method investments” on our Condensed Consolidated Balance Sheets at December 31, 2022. In January 2023, as a result of the Broadmark Acquisition, we acquired additional equity interests in Broadmark and subsequently have accounted for that investment as a consolidated subsidiary.</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other investments are carried at fair value on a recurring basis and are accounted for as trading securities.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Investments carried at fair value are presented in the table below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6"/>
                <w:szCs w:val="16"/>
                <w:color w:val="auto"/>
              </w:rPr>
            </w:pPr>
          </w:p>
        </w:tc>
        <w:tc>
          <w:tcPr>
            <w:tcW w:w="960" w:type="dxa"/>
            <w:vAlign w:val="bottom"/>
          </w:tcPr>
          <w:p>
            <w:pPr>
              <w:jc w:val="center"/>
              <w:ind w:right="71"/>
              <w:spacing w:after="0"/>
              <w:rPr>
                <w:sz w:val="20"/>
                <w:szCs w:val="20"/>
                <w:color w:val="auto"/>
              </w:rPr>
            </w:pPr>
            <w:r>
              <w:rPr>
                <w:rFonts w:ascii="Arial" w:cs="Arial" w:eastAsia="Arial" w:hAnsi="Arial"/>
                <w:sz w:val="16"/>
                <w:szCs w:val="16"/>
                <w:b w:val="1"/>
                <w:bCs w:val="1"/>
                <w:color w:val="auto"/>
                <w:w w:val="94"/>
              </w:rPr>
              <w:t>Estimated</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4"/>
                <w:szCs w:val="14"/>
                <w:color w:val="auto"/>
              </w:rPr>
            </w:pPr>
          </w:p>
        </w:tc>
        <w:tc>
          <w:tcPr>
            <w:tcW w:w="960" w:type="dxa"/>
            <w:vAlign w:val="bottom"/>
          </w:tcPr>
          <w:p>
            <w:pPr>
              <w:jc w:val="center"/>
              <w:ind w:right="71"/>
              <w:spacing w:after="0" w:line="162" w:lineRule="exact"/>
              <w:rPr>
                <w:sz w:val="20"/>
                <w:szCs w:val="20"/>
                <w:color w:val="auto"/>
              </w:rPr>
            </w:pPr>
            <w:r>
              <w:rPr>
                <w:rFonts w:ascii="Arial" w:cs="Arial" w:eastAsia="Arial" w:hAnsi="Arial"/>
                <w:sz w:val="16"/>
                <w:szCs w:val="16"/>
                <w:b w:val="1"/>
                <w:bCs w:val="1"/>
                <w:color w:val="auto"/>
                <w:w w:val="95"/>
              </w:rPr>
              <w:t>Fair</w:t>
            </w:r>
          </w:p>
        </w:tc>
        <w:tc>
          <w:tcPr>
            <w:tcW w:w="0" w:type="dxa"/>
            <w:vAlign w:val="bottom"/>
          </w:tcPr>
          <w:p>
            <w:pPr>
              <w:spacing w:after="0"/>
              <w:rPr>
                <w:sz w:val="1"/>
                <w:szCs w:val="1"/>
                <w:color w:val="auto"/>
              </w:rPr>
            </w:pPr>
          </w:p>
        </w:tc>
      </w:tr>
      <w:tr>
        <w:trPr>
          <w:trHeight w:val="213"/>
        </w:trPr>
        <w:tc>
          <w:tcPr>
            <w:tcW w:w="6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Gains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160" w:type="dxa"/>
            <w:vAlign w:val="bottom"/>
          </w:tcPr>
          <w:p>
            <w:pPr>
              <w:spacing w:after="0"/>
              <w:rPr>
                <w:sz w:val="18"/>
                <w:szCs w:val="18"/>
                <w:color w:val="auto"/>
              </w:rPr>
            </w:pPr>
          </w:p>
        </w:tc>
        <w:tc>
          <w:tcPr>
            <w:tcW w:w="960" w:type="dxa"/>
            <w:vAlign w:val="bottom"/>
          </w:tcPr>
          <w:p>
            <w:pPr>
              <w:jc w:val="center"/>
              <w:ind w:right="71"/>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23,429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23,175</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Equity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Exchange-traded bond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trading securities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31,312</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 investment fund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investments carried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Equity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Exchange-traded bond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trading securities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Private investment fund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Arial" w:cs="Arial" w:eastAsia="Arial" w:hAnsi="Arial"/>
                <w:sz w:val="18"/>
                <w:szCs w:val="18"/>
                <w:color w:val="auto"/>
              </w:rPr>
              <w:t>Total investments carried at fair value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investments shown below are included in our Condensed Consolidated Balance Sheets as Equity method investments, as follows (in thousands):</w:t>
      </w:r>
    </w:p>
    <w:p>
      <w:pPr>
        <w:sectPr>
          <w:pgSz w:w="11900" w:h="16838" w:orient="portrait"/>
          <w:cols w:equalWidth="0" w:num="1">
            <w:col w:w="11240"/>
          </w:cols>
          <w:pgMar w:left="320" w:top="121" w:right="339" w:bottom="1440" w:gutter="0" w:footer="0" w:header="0"/>
        </w:sectPr>
      </w:pP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20320</wp:posOffset>
            </wp:positionV>
            <wp:extent cx="2134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6" w:lineRule="exact"/>
        <w:rPr>
          <w:sz w:val="20"/>
          <w:szCs w:val="20"/>
          <w:color w:val="auto"/>
        </w:rPr>
      </w:pPr>
    </w:p>
    <w:p>
      <w:pPr>
        <w:ind w:left="4680"/>
        <w:spacing w:after="0"/>
        <w:tabs>
          <w:tab w:leader="none" w:pos="6500" w:val="left"/>
        </w:tabs>
        <w:rPr>
          <w:sz w:val="20"/>
          <w:szCs w:val="20"/>
          <w:color w:val="auto"/>
        </w:rPr>
      </w:pPr>
      <w:r>
        <w:rPr>
          <w:rFonts w:ascii="Arial" w:cs="Arial" w:eastAsia="Arial" w:hAnsi="Arial"/>
          <w:sz w:val="16"/>
          <w:szCs w:val="16"/>
          <w:b w:val="1"/>
          <w:bCs w:val="1"/>
          <w:color w:val="auto"/>
        </w:rPr>
        <w:t>Carrying value</w:t>
      </w:r>
      <w:r>
        <w:rPr>
          <w:sz w:val="20"/>
          <w:szCs w:val="20"/>
          <w:color w:val="auto"/>
        </w:rPr>
        <w:tab/>
      </w:r>
      <w:r>
        <w:rPr>
          <w:rFonts w:ascii="Arial" w:cs="Arial" w:eastAsia="Arial" w:hAnsi="Arial"/>
          <w:sz w:val="14"/>
          <w:szCs w:val="14"/>
          <w:b w:val="1"/>
          <w:bCs w:val="1"/>
          <w:color w:val="auto"/>
        </w:rPr>
        <w:t>Ownership</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wp:posOffset>
            </wp:positionV>
            <wp:extent cx="2143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6"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b w:val="1"/>
          <w:bCs w:val="1"/>
          <w:color w:val="auto"/>
        </w:rPr>
        <w:t>Carrying value</w:t>
      </w:r>
      <w:r>
        <w:rPr>
          <w:sz w:val="20"/>
          <w:szCs w:val="20"/>
          <w:color w:val="auto"/>
        </w:rPr>
        <w:tab/>
      </w:r>
      <w:r>
        <w:rPr>
          <w:rFonts w:ascii="Arial" w:cs="Arial" w:eastAsia="Arial" w:hAnsi="Arial"/>
          <w:sz w:val="14"/>
          <w:szCs w:val="14"/>
          <w:b w:val="1"/>
          <w:bCs w:val="1"/>
          <w:color w:val="auto"/>
        </w:rPr>
        <w:t>Ownership</w:t>
      </w:r>
    </w:p>
    <w:p>
      <w:pPr>
        <w:spacing w:after="0" w:line="46" w:lineRule="exact"/>
        <w:rPr>
          <w:sz w:val="20"/>
          <w:szCs w:val="20"/>
          <w:color w:val="auto"/>
        </w:rPr>
      </w:pPr>
    </w:p>
    <w:p>
      <w:pPr>
        <w:sectPr>
          <w:pgSz w:w="11900" w:h="16838" w:orient="portrait"/>
          <w:cols w:equalWidth="0" w:num="2">
            <w:col w:w="7420" w:space="720"/>
            <w:col w:w="31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4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Zarvona Energy Fund GP, L.P.</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2460" w:type="dxa"/>
            <w:vAlign w:val="bottom"/>
            <w:gridSpan w:val="3"/>
            <w:shd w:val="clear" w:color="auto" w:fill="CCEEFF"/>
          </w:tcPr>
          <w:p>
            <w:pPr>
              <w:jc w:val="right"/>
              <w:ind w:right="410"/>
              <w:spacing w:after="0"/>
              <w:rPr>
                <w:sz w:val="20"/>
                <w:szCs w:val="20"/>
                <w:color w:val="auto"/>
              </w:rPr>
            </w:pPr>
            <w:r>
              <w:rPr>
                <w:rFonts w:ascii="Arial" w:cs="Arial" w:eastAsia="Arial" w:hAnsi="Arial"/>
                <w:sz w:val="18"/>
                <w:szCs w:val="18"/>
                <w:color w:val="auto"/>
              </w:rPr>
              <w:t>50.0 %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Zarvona Energy Fund II-A, L.P.</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w:t>
            </w:r>
          </w:p>
        </w:tc>
        <w:tc>
          <w:tcPr>
            <w:tcW w:w="1760" w:type="dxa"/>
            <w:vAlign w:val="bottom"/>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w:t>
            </w:r>
          </w:p>
        </w:tc>
        <w:tc>
          <w:tcPr>
            <w:tcW w:w="176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Broadmark Asset Management LLC</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60" w:type="dxa"/>
            <w:vAlign w:val="bottom"/>
            <w:gridSpan w:val="3"/>
            <w:shd w:val="clear" w:color="auto" w:fill="CCEEFF"/>
          </w:tcPr>
          <w:p>
            <w:pPr>
              <w:jc w:val="right"/>
              <w:ind w:right="63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47.5 %</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Salient MLP Total Return Fund, L.P.</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460" w:type="dxa"/>
            <w:vAlign w:val="bottom"/>
            <w:gridSpan w:val="3"/>
          </w:tcPr>
          <w:p>
            <w:pPr>
              <w:jc w:val="right"/>
              <w:ind w:right="63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7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Salient MLP Total Return TE Fund, L.P.</w:t>
            </w: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w:t>
            </w:r>
          </w:p>
        </w:tc>
        <w:tc>
          <w:tcPr>
            <w:tcW w:w="1760" w:type="dxa"/>
            <w:vAlign w:val="bottom"/>
          </w:tcPr>
          <w:p>
            <w:pPr>
              <w:spacing w:after="0"/>
              <w:rPr>
                <w:sz w:val="19"/>
                <w:szCs w:val="19"/>
                <w:color w:val="auto"/>
              </w:rPr>
            </w:pPr>
          </w:p>
        </w:tc>
      </w:tr>
      <w:tr>
        <w:trPr>
          <w:trHeight w:val="21"/>
        </w:trPr>
        <w:tc>
          <w:tcPr>
            <w:tcW w:w="4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62" w:lineRule="exact"/>
        <w:rPr>
          <w:sz w:val="20"/>
          <w:szCs w:val="20"/>
          <w:color w:val="auto"/>
        </w:rPr>
      </w:pPr>
    </w:p>
    <w:p>
      <w:pPr>
        <w:ind w:left="1140" w:hanging="565"/>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significant unobservable inputs where there is little or no market activity</w:t>
      </w:r>
    </w:p>
    <w:p>
      <w:pPr>
        <w:spacing w:after="0" w:line="11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Our strategic investments in InvestCloud and Vista, discussed in Note 6 “Investments,” are excluded from the recurring fair value table shown below because we have elected to apply the measurement alternative for those investments.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following table summarizes the values of our investments measured at fair value on a recurring basis within the fair value hierarchy as of the dates indicated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Investments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Measured at</w:t>
            </w:r>
          </w:p>
        </w:tc>
        <w:tc>
          <w:tcPr>
            <w:tcW w:w="240" w:type="dxa"/>
            <w:vAlign w:val="bottom"/>
          </w:tcPr>
          <w:p>
            <w:pPr>
              <w:spacing w:after="0"/>
              <w:rPr>
                <w:sz w:val="14"/>
                <w:szCs w:val="14"/>
                <w:color w:val="auto"/>
              </w:rPr>
            </w:pPr>
          </w:p>
        </w:tc>
        <w:tc>
          <w:tcPr>
            <w:tcW w:w="88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line="216" w:lineRule="exact"/>
              <w:rPr>
                <w:sz w:val="20"/>
                <w:szCs w:val="20"/>
                <w:color w:val="auto"/>
              </w:rPr>
            </w:pPr>
            <w:r>
              <w:rPr>
                <w:rFonts w:ascii="Arial" w:cs="Arial" w:eastAsia="Arial" w:hAnsi="Arial"/>
                <w:sz w:val="25"/>
                <w:szCs w:val="25"/>
                <w:b w:val="1"/>
                <w:bCs w:val="1"/>
                <w:color w:val="auto"/>
                <w:w w:val="98"/>
                <w:vertAlign w:val="subscript"/>
              </w:rPr>
              <w:t>NAV</w:t>
            </w:r>
            <w:r>
              <w:rPr>
                <w:rFonts w:ascii="Arial" w:cs="Arial" w:eastAsia="Arial" w:hAnsi="Arial"/>
                <w:sz w:val="9"/>
                <w:szCs w:val="9"/>
                <w:color w:val="auto"/>
                <w:w w:val="98"/>
              </w:rPr>
              <w:t xml:space="preserve"> (1)</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2023:</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Investments in trading securities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31,312</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31,312</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investment fund</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Arial" w:cs="Arial" w:eastAsia="Arial" w:hAnsi="Arial"/>
                <w:sz w:val="18"/>
                <w:szCs w:val="18"/>
                <w:color w:val="auto"/>
              </w:rPr>
              <w:t>Total assets measured at fair value</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31,312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31,571</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Salient Acquisition 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10,246</w:t>
            </w: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Arial" w:cs="Arial" w:eastAsia="Arial" w:hAnsi="Arial"/>
                <w:sz w:val="18"/>
                <w:szCs w:val="18"/>
                <w:color w:val="auto"/>
              </w:rPr>
              <w:t>Total liabilities measured at fair value</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10,246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10,246</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trading securities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15,342</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Private investment fund</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2,792</w:t>
            </w: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Arial" w:cs="Arial" w:eastAsia="Arial" w:hAnsi="Arial"/>
                <w:sz w:val="18"/>
                <w:szCs w:val="18"/>
                <w:color w:val="auto"/>
              </w:rPr>
              <w:t>Total assets measured at fair value</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15,342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2,792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18,369</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Salient Acquisition 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12,901</w:t>
            </w: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Arial" w:cs="Arial" w:eastAsia="Arial" w:hAnsi="Arial"/>
                <w:sz w:val="18"/>
                <w:szCs w:val="18"/>
                <w:color w:val="auto"/>
              </w:rPr>
              <w:t>Total liabilities measured at fair value</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tcPr>
          <w:p>
            <w:pPr>
              <w:ind w:left="6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12,901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12,901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0</wp:posOffset>
            </wp:positionV>
            <wp:extent cx="39001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2" w:lineRule="exact"/>
        <w:rPr>
          <w:sz w:val="20"/>
          <w:szCs w:val="20"/>
          <w:color w:val="auto"/>
        </w:rPr>
      </w:pPr>
    </w:p>
    <w:p>
      <w:pPr>
        <w:ind w:left="20" w:right="280" w:firstLine="6"/>
        <w:spacing w:after="0" w:line="253" w:lineRule="auto"/>
        <w:tabs>
          <w:tab w:leader="none" w:pos="224"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Comprised of certain investments measured at fair value using NAV as a practical expedient. The fair value amounts presented in this table are intended to permit reconciliation of the fair value hierarchy to the amounts presented on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-203200</wp:posOffset>
            </wp:positionV>
            <wp:extent cx="39001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Prior to our exchange of Charis shares for shares in Vista, our investment in Charis was included within Level 3 of the fair value hierarchy as we valued it utilizing inputs not observable in the market. Historically, our investment was measured at fair value on a recurring basis using a market approach based on either a price to tangible book value multiple range determined to be reasonable in the current environment, or on market transactions. On April 3, 2023, Charis was acquired by Vista in a transaction in which the Company exchanged its shares in Charis for shares in Vista.</w:t>
      </w:r>
    </w:p>
    <w:p>
      <w:pPr>
        <w:spacing w:after="0" w:line="184" w:lineRule="exact"/>
        <w:rPr>
          <w:sz w:val="20"/>
          <w:szCs w:val="20"/>
          <w:color w:val="auto"/>
        </w:rPr>
      </w:pPr>
    </w:p>
    <w:p>
      <w:pPr>
        <w:ind w:right="680" w:firstLine="486"/>
        <w:spacing w:after="0" w:line="272" w:lineRule="auto"/>
        <w:rPr>
          <w:sz w:val="20"/>
          <w:szCs w:val="20"/>
          <w:color w:val="auto"/>
        </w:rPr>
      </w:pPr>
      <w:r>
        <w:rPr>
          <w:rFonts w:ascii="Arial" w:cs="Arial" w:eastAsia="Arial" w:hAnsi="Arial"/>
          <w:sz w:val="18"/>
          <w:szCs w:val="18"/>
          <w:color w:val="auto"/>
        </w:rPr>
        <w:t>The following table summarizes the changes in Level 3 investments measured at fair value on a recurring basis for the periods presented (in thousands):</w:t>
      </w:r>
    </w:p>
    <w:tbl>
      <w:tblPr>
        <w:tblLayout w:type="fixed"/>
        <w:tblInd w:w="0" w:type="dxa"/>
        <w:tblCellMar>
          <w:top w:w="0" w:type="dxa"/>
          <w:left w:w="0" w:type="dxa"/>
          <w:bottom w:w="0" w:type="dxa"/>
          <w:right w:w="0" w:type="dxa"/>
        </w:tblCellMar>
      </w:tblPr>
      <w:tr>
        <w:trPr>
          <w:trHeight w:val="202"/>
        </w:trPr>
        <w:tc>
          <w:tcPr>
            <w:tcW w:w="44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gridSpan w:val="9"/>
          </w:tcPr>
          <w:p>
            <w:pPr>
              <w:ind w:left="340"/>
              <w:spacing w:after="0"/>
              <w:rPr>
                <w:sz w:val="20"/>
                <w:szCs w:val="20"/>
                <w:color w:val="auto"/>
              </w:rPr>
            </w:pPr>
            <w:r>
              <w:rPr>
                <w:rFonts w:ascii="Arial" w:cs="Arial" w:eastAsia="Arial" w:hAnsi="Arial"/>
                <w:sz w:val="15"/>
                <w:szCs w:val="15"/>
                <w:b w:val="1"/>
                <w:bCs w:val="1"/>
                <w:color w:val="auto"/>
                <w:w w:val="97"/>
              </w:rPr>
              <w:t>Fair Value using Significant Unobservable Inputs (Level 3)</w:t>
            </w:r>
          </w:p>
        </w:tc>
        <w:tc>
          <w:tcPr>
            <w:tcW w:w="1240" w:type="dxa"/>
            <w:vAlign w:val="bottom"/>
            <w:tcBorders>
              <w:bottom w:val="single" w:sz="8" w:color="auto"/>
            </w:tcBorders>
          </w:tcPr>
          <w:p>
            <w:pPr>
              <w:spacing w:after="0"/>
              <w:rPr>
                <w:sz w:val="17"/>
                <w:szCs w:val="17"/>
                <w:color w:val="auto"/>
              </w:rPr>
            </w:pPr>
          </w:p>
        </w:tc>
      </w:tr>
      <w:tr>
        <w:trPr>
          <w:trHeight w:val="198"/>
        </w:trPr>
        <w:tc>
          <w:tcPr>
            <w:tcW w:w="442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5"/>
                <w:szCs w:val="15"/>
                <w:b w:val="1"/>
                <w:bCs w:val="1"/>
                <w:color w:val="auto"/>
                <w:w w:val="99"/>
              </w:rPr>
              <w:t>Nine Months Ended September 30,</w:t>
            </w:r>
          </w:p>
        </w:tc>
      </w:tr>
      <w:tr>
        <w:trPr>
          <w:trHeight w:val="220"/>
        </w:trPr>
        <w:tc>
          <w:tcPr>
            <w:tcW w:w="44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2022</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2022</w:t>
            </w:r>
          </w:p>
        </w:tc>
      </w:tr>
      <w:tr>
        <w:trPr>
          <w:trHeight w:val="228"/>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1160" w:type="dxa"/>
            <w:vAlign w:val="bottom"/>
            <w:shd w:val="clear" w:color="auto" w:fill="CCEEFF"/>
          </w:tcPr>
          <w:p>
            <w:pPr>
              <w:jc w:val="right"/>
              <w:ind w:right="977"/>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4,024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4,369</w:t>
            </w:r>
          </w:p>
        </w:tc>
      </w:tr>
      <w:tr>
        <w:trPr>
          <w:trHeight w:val="223"/>
        </w:trPr>
        <w:tc>
          <w:tcPr>
            <w:tcW w:w="4420" w:type="dxa"/>
            <w:vAlign w:val="bottom"/>
          </w:tcPr>
          <w:p>
            <w:pPr>
              <w:ind w:left="140"/>
              <w:spacing w:after="0"/>
              <w:rPr>
                <w:sz w:val="20"/>
                <w:szCs w:val="20"/>
                <w:color w:val="auto"/>
              </w:rPr>
            </w:pPr>
            <w:r>
              <w:rPr>
                <w:rFonts w:ascii="Arial" w:cs="Arial" w:eastAsia="Arial" w:hAnsi="Arial"/>
                <w:sz w:val="16"/>
                <w:szCs w:val="16"/>
                <w:color w:val="auto"/>
              </w:rPr>
              <w:t>Exchange of shares</w:t>
            </w:r>
          </w:p>
        </w:tc>
        <w:tc>
          <w:tcPr>
            <w:tcW w:w="116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(2,792)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gains (losses) on private investments</w:t>
            </w:r>
          </w:p>
        </w:tc>
        <w:tc>
          <w:tcPr>
            <w:tcW w:w="1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r>
      <w:tr>
        <w:trPr>
          <w:trHeight w:val="217"/>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1160" w:type="dxa"/>
            <w:vAlign w:val="bottom"/>
            <w:tcBorders>
              <w:top w:val="single" w:sz="8" w:color="auto"/>
              <w:bottom w:val="single" w:sz="8" w:color="auto"/>
            </w:tcBorders>
          </w:tcPr>
          <w:p>
            <w:pPr>
              <w:jc w:val="right"/>
              <w:ind w:right="977"/>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55"/>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3,776</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3,776</w:t>
            </w:r>
          </w:p>
        </w:tc>
      </w:tr>
      <w:tr>
        <w:trPr>
          <w:trHeight w:val="27"/>
        </w:trPr>
        <w:tc>
          <w:tcPr>
            <w:tcW w:w="44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ind w:right="880" w:firstLine="486"/>
        <w:spacing w:after="0" w:line="272" w:lineRule="auto"/>
        <w:rPr>
          <w:sz w:val="20"/>
          <w:szCs w:val="20"/>
          <w:color w:val="auto"/>
        </w:rPr>
      </w:pPr>
      <w:r>
        <w:rPr>
          <w:rFonts w:ascii="Arial" w:cs="Arial" w:eastAsia="Arial" w:hAnsi="Arial"/>
          <w:sz w:val="18"/>
          <w:szCs w:val="18"/>
          <w:color w:val="auto"/>
        </w:rPr>
        <w:t>The following table summarizes the changes in Level 3 liabilities measured at fair value on a recurring basis for the periods presented (in thousands):</w:t>
      </w:r>
    </w:p>
    <w:tbl>
      <w:tblPr>
        <w:tblLayout w:type="fixed"/>
        <w:tblInd w:w="0" w:type="dxa"/>
        <w:tblCellMar>
          <w:top w:w="0" w:type="dxa"/>
          <w:left w:w="0" w:type="dxa"/>
          <w:bottom w:w="0" w:type="dxa"/>
          <w:right w:w="0" w:type="dxa"/>
        </w:tblCellMar>
      </w:tblPr>
      <w:tr>
        <w:trPr>
          <w:trHeight w:val="202"/>
        </w:trPr>
        <w:tc>
          <w:tcPr>
            <w:tcW w:w="44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gridSpan w:val="9"/>
          </w:tcPr>
          <w:p>
            <w:pPr>
              <w:jc w:val="right"/>
              <w:ind w:right="175"/>
              <w:spacing w:after="0"/>
              <w:rPr>
                <w:sz w:val="20"/>
                <w:szCs w:val="20"/>
                <w:color w:val="auto"/>
              </w:rPr>
            </w:pPr>
            <w:r>
              <w:rPr>
                <w:rFonts w:ascii="Arial" w:cs="Arial" w:eastAsia="Arial" w:hAnsi="Arial"/>
                <w:sz w:val="15"/>
                <w:szCs w:val="15"/>
                <w:b w:val="1"/>
                <w:bCs w:val="1"/>
                <w:color w:val="auto"/>
              </w:rPr>
              <w:t>Fair Value using Significant Unobservable Inputs (Level 3)</w:t>
            </w:r>
          </w:p>
        </w:tc>
        <w:tc>
          <w:tcPr>
            <w:tcW w:w="1240" w:type="dxa"/>
            <w:vAlign w:val="bottom"/>
            <w:tcBorders>
              <w:bottom w:val="single" w:sz="8" w:color="auto"/>
            </w:tcBorders>
          </w:tcPr>
          <w:p>
            <w:pPr>
              <w:spacing w:after="0"/>
              <w:rPr>
                <w:sz w:val="17"/>
                <w:szCs w:val="17"/>
                <w:color w:val="auto"/>
              </w:rPr>
            </w:pPr>
          </w:p>
        </w:tc>
      </w:tr>
      <w:tr>
        <w:trPr>
          <w:trHeight w:val="198"/>
        </w:trPr>
        <w:tc>
          <w:tcPr>
            <w:tcW w:w="4420" w:type="dxa"/>
            <w:vAlign w:val="bottom"/>
          </w:tcPr>
          <w:p>
            <w:pPr>
              <w:spacing w:after="0"/>
              <w:rPr>
                <w:sz w:val="17"/>
                <w:szCs w:val="17"/>
                <w:color w:val="auto"/>
              </w:rPr>
            </w:pPr>
          </w:p>
        </w:tc>
        <w:tc>
          <w:tcPr>
            <w:tcW w:w="294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5"/>
                <w:szCs w:val="15"/>
                <w:b w:val="1"/>
                <w:bCs w:val="1"/>
                <w:color w:val="auto"/>
              </w:rPr>
              <w:t>Three Months Ended September 30,</w:t>
            </w:r>
          </w:p>
        </w:tc>
        <w:tc>
          <w:tcPr>
            <w:tcW w:w="3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ind w:left="200"/>
              <w:spacing w:after="0"/>
              <w:rPr>
                <w:sz w:val="20"/>
                <w:szCs w:val="20"/>
                <w:color w:val="auto"/>
              </w:rPr>
            </w:pPr>
            <w:r>
              <w:rPr>
                <w:rFonts w:ascii="Arial" w:cs="Arial" w:eastAsia="Arial" w:hAnsi="Arial"/>
                <w:sz w:val="15"/>
                <w:szCs w:val="15"/>
                <w:b w:val="1"/>
                <w:bCs w:val="1"/>
                <w:color w:val="auto"/>
              </w:rPr>
              <w:t>Nine Months Ended September 30,</w:t>
            </w:r>
          </w:p>
        </w:tc>
      </w:tr>
      <w:tr>
        <w:trPr>
          <w:trHeight w:val="220"/>
        </w:trPr>
        <w:tc>
          <w:tcPr>
            <w:tcW w:w="44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2022</w:t>
            </w: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2022</w:t>
            </w:r>
          </w:p>
        </w:tc>
      </w:tr>
      <w:tr>
        <w:trPr>
          <w:trHeight w:val="228"/>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1020" w:type="dxa"/>
            <w:vAlign w:val="bottom"/>
            <w:shd w:val="clear" w:color="auto" w:fill="CCEEFF"/>
          </w:tcPr>
          <w:p>
            <w:pPr>
              <w:jc w:val="right"/>
              <w:ind w:right="837"/>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5"/>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9"/>
              </w:rPr>
              <w:t>12,901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w:t>
            </w:r>
          </w:p>
        </w:tc>
      </w:tr>
      <w:tr>
        <w:trPr>
          <w:trHeight w:val="223"/>
        </w:trPr>
        <w:tc>
          <w:tcPr>
            <w:tcW w:w="4420" w:type="dxa"/>
            <w:vAlign w:val="bottom"/>
          </w:tcPr>
          <w:p>
            <w:pPr>
              <w:ind w:left="140"/>
              <w:spacing w:after="0"/>
              <w:rPr>
                <w:sz w:val="20"/>
                <w:szCs w:val="20"/>
                <w:color w:val="auto"/>
              </w:rPr>
            </w:pPr>
            <w:r>
              <w:rPr>
                <w:rFonts w:ascii="Arial" w:cs="Arial" w:eastAsia="Arial" w:hAnsi="Arial"/>
                <w:sz w:val="16"/>
                <w:szCs w:val="16"/>
                <w:color w:val="auto"/>
              </w:rPr>
              <w:t>Total (gains) losses included in earnings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2,483</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80" w:type="dxa"/>
            <w:vAlign w:val="bottom"/>
          </w:tcPr>
          <w:p>
            <w:pPr>
              <w:ind w:left="760"/>
              <w:spacing w:after="0"/>
              <w:rPr>
                <w:sz w:val="20"/>
                <w:szCs w:val="20"/>
                <w:color w:val="auto"/>
              </w:rPr>
            </w:pPr>
            <w:r>
              <w:rPr>
                <w:rFonts w:ascii="Arial" w:cs="Arial" w:eastAsia="Arial" w:hAnsi="Arial"/>
                <w:sz w:val="17"/>
                <w:szCs w:val="17"/>
                <w:color w:val="auto"/>
                <w:w w:val="92"/>
              </w:rPr>
              <w:t>(2,655)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ind w:left="1000"/>
              <w:spacing w:after="0"/>
              <w:rPr>
                <w:sz w:val="20"/>
                <w:szCs w:val="20"/>
                <w:color w:val="auto"/>
              </w:rPr>
            </w:pPr>
            <w:r>
              <w:rPr>
                <w:rFonts w:ascii="Arial" w:cs="Arial" w:eastAsia="Arial" w:hAnsi="Arial"/>
                <w:sz w:val="17"/>
                <w:szCs w:val="17"/>
                <w:color w:val="auto"/>
              </w:rPr>
              <w:t>—</w:t>
            </w:r>
          </w:p>
        </w:tc>
      </w:tr>
      <w:tr>
        <w:trPr>
          <w:trHeight w:val="24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020" w:type="dxa"/>
            <w:vAlign w:val="bottom"/>
            <w:tcBorders>
              <w:top w:val="single" w:sz="8" w:color="auto"/>
              <w:bottom w:val="single" w:sz="8" w:color="auto"/>
            </w:tcBorders>
            <w:shd w:val="clear" w:color="auto" w:fill="CCEEFF"/>
          </w:tcPr>
          <w:p>
            <w:pPr>
              <w:jc w:val="right"/>
              <w:ind w:right="837"/>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10,246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55"/>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7"/>
                <w:szCs w:val="17"/>
                <w:color w:val="auto"/>
                <w:w w:val="99"/>
              </w:rPr>
              <w:t>10,246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rPr>
              <w:t>—</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0" w:firstLine="486"/>
        <w:spacing w:after="0" w:line="296" w:lineRule="auto"/>
        <w:rPr>
          <w:sz w:val="20"/>
          <w:szCs w:val="20"/>
          <w:color w:val="auto"/>
        </w:rPr>
      </w:pPr>
      <w:r>
        <w:rPr>
          <w:rFonts w:ascii="Arial" w:cs="Arial" w:eastAsia="Arial" w:hAnsi="Arial"/>
          <w:sz w:val="16"/>
          <w:szCs w:val="16"/>
          <w:color w:val="auto"/>
        </w:rPr>
        <w:t>The September 30, 2023 contingent consideration fair value of $10.2 million was valued based upon updated revenue growth projections and financial inputs. The fair value of contingent consideration related to both the revenue retention earn-out and the growth earn-out is measured using the Monte Carlo simulation model, which considered assumptions including revenue growth projections, revenue volatility, risk free rates and discount rates. The projected contingent payment is discounted to the current period using a discounted cash flow model. Increases or decreases in projected revenues, probabilities of payment, discount rates, projected payment dates and other inputs may result in significantly higher or lower fair value measurements.</w:t>
      </w:r>
    </w:p>
    <w:p>
      <w:pPr>
        <w:spacing w:after="0" w:line="53"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 represents the range of the unobservable inputs utilized in the fair value measurement of the contingent consideration classified as level 3:</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40" w:type="dxa"/>
            <w:vAlign w:val="bottom"/>
            <w:gridSpan w:val="4"/>
          </w:tcPr>
          <w:p>
            <w:pPr>
              <w:ind w:left="100"/>
              <w:spacing w:after="0"/>
              <w:rPr>
                <w:sz w:val="20"/>
                <w:szCs w:val="20"/>
                <w:color w:val="auto"/>
              </w:rPr>
            </w:pPr>
            <w:r>
              <w:rPr>
                <w:rFonts w:ascii="Arial" w:cs="Arial" w:eastAsia="Arial" w:hAnsi="Arial"/>
                <w:sz w:val="16"/>
                <w:szCs w:val="16"/>
                <w:b w:val="1"/>
                <w:bCs w:val="1"/>
                <w:color w:val="auto"/>
              </w:rPr>
              <w:t>Range</w:t>
            </w:r>
          </w:p>
        </w:tc>
        <w:tc>
          <w:tcPr>
            <w:tcW w:w="2340" w:type="dxa"/>
            <w:vAlign w:val="bottom"/>
          </w:tcPr>
          <w:p>
            <w:pPr>
              <w:spacing w:after="0"/>
              <w:rPr>
                <w:sz w:val="18"/>
                <w:szCs w:val="18"/>
                <w:color w:val="auto"/>
              </w:rPr>
            </w:pPr>
          </w:p>
        </w:tc>
      </w:tr>
      <w:tr>
        <w:trPr>
          <w:trHeight w:val="213"/>
        </w:trPr>
        <w:tc>
          <w:tcPr>
            <w:tcW w:w="39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Earn-out</w:t>
            </w:r>
          </w:p>
        </w:tc>
        <w:tc>
          <w:tcPr>
            <w:tcW w:w="2460" w:type="dxa"/>
            <w:vAlign w:val="bottom"/>
            <w:gridSpan w:val="2"/>
          </w:tcPr>
          <w:p>
            <w:pPr>
              <w:ind w:left="480"/>
              <w:spacing w:after="0"/>
              <w:rPr>
                <w:sz w:val="20"/>
                <w:szCs w:val="20"/>
                <w:color w:val="auto"/>
              </w:rPr>
            </w:pPr>
            <w:r>
              <w:rPr>
                <w:rFonts w:ascii="Arial" w:cs="Arial" w:eastAsia="Arial" w:hAnsi="Arial"/>
                <w:sz w:val="16"/>
                <w:szCs w:val="16"/>
                <w:b w:val="1"/>
                <w:bCs w:val="1"/>
                <w:color w:val="auto"/>
              </w:rPr>
              <w:t>Unobservable Input</w:t>
            </w:r>
          </w:p>
        </w:tc>
        <w:tc>
          <w:tcPr>
            <w:tcW w:w="900" w:type="dxa"/>
            <w:vAlign w:val="bottom"/>
            <w:tcBorders>
              <w:top w:val="single" w:sz="8" w:color="auto"/>
            </w:tcBorders>
          </w:tcPr>
          <w:p>
            <w:pPr>
              <w:jc w:val="center"/>
              <w:ind w:left="172"/>
              <w:spacing w:after="0"/>
              <w:rPr>
                <w:sz w:val="20"/>
                <w:szCs w:val="20"/>
                <w:color w:val="auto"/>
              </w:rPr>
            </w:pPr>
            <w:r>
              <w:rPr>
                <w:rFonts w:ascii="Arial" w:cs="Arial" w:eastAsia="Arial" w:hAnsi="Arial"/>
                <w:sz w:val="16"/>
                <w:szCs w:val="16"/>
                <w:b w:val="1"/>
                <w:bCs w:val="1"/>
                <w:color w:val="auto"/>
                <w:w w:val="99"/>
              </w:rPr>
              <w:t>Low</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High</w:t>
            </w:r>
          </w:p>
        </w:tc>
        <w:tc>
          <w:tcPr>
            <w:tcW w:w="1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 Rate</w:t>
            </w:r>
          </w:p>
        </w:tc>
      </w:tr>
      <w:tr>
        <w:trPr>
          <w:trHeight w:val="226"/>
        </w:trPr>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Retention earn-out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93"/>
              </w:rPr>
              <w:t>13.5%</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14.5%</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14.00%</w:t>
            </w:r>
          </w:p>
        </w:tc>
      </w:tr>
      <w:tr>
        <w:trPr>
          <w:trHeight w:val="230"/>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900" w:type="dxa"/>
            <w:vAlign w:val="bottom"/>
          </w:tcPr>
          <w:p>
            <w:pPr>
              <w:jc w:val="center"/>
              <w:ind w:left="172"/>
              <w:spacing w:after="0"/>
              <w:rPr>
                <w:sz w:val="20"/>
                <w:szCs w:val="20"/>
                <w:color w:val="auto"/>
              </w:rPr>
            </w:pPr>
            <w:r>
              <w:rPr>
                <w:rFonts w:ascii="Arial" w:cs="Arial" w:eastAsia="Arial" w:hAnsi="Arial"/>
                <w:sz w:val="18"/>
                <w:szCs w:val="18"/>
                <w:color w:val="auto"/>
                <w:w w:val="93"/>
              </w:rPr>
              <w:t>15.0%</w:t>
            </w:r>
          </w:p>
        </w:tc>
        <w:tc>
          <w:tcPr>
            <w:tcW w:w="1540" w:type="dxa"/>
            <w:vAlign w:val="bottom"/>
            <w:gridSpan w:val="3"/>
          </w:tcPr>
          <w:p>
            <w:pPr>
              <w:jc w:val="center"/>
              <w:ind w:left="272"/>
              <w:spacing w:after="0"/>
              <w:rPr>
                <w:sz w:val="20"/>
                <w:szCs w:val="20"/>
                <w:color w:val="auto"/>
              </w:rPr>
            </w:pPr>
            <w:r>
              <w:rPr>
                <w:rFonts w:ascii="Arial" w:cs="Arial" w:eastAsia="Arial" w:hAnsi="Arial"/>
                <w:sz w:val="18"/>
                <w:szCs w:val="18"/>
                <w:color w:val="auto"/>
                <w:w w:val="90"/>
              </w:rPr>
              <w:t>25.0%</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20.00%</w:t>
            </w:r>
          </w:p>
        </w:tc>
      </w:tr>
      <w:tr>
        <w:trPr>
          <w:trHeight w:val="270"/>
        </w:trPr>
        <w:tc>
          <w:tcPr>
            <w:tcW w:w="3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r>
      <w:tr>
        <w:trPr>
          <w:trHeight w:val="229"/>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Growth earn-out</w:t>
            </w: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900" w:type="dxa"/>
            <w:vAlign w:val="bottom"/>
          </w:tcPr>
          <w:p>
            <w:pPr>
              <w:jc w:val="center"/>
              <w:ind w:left="172"/>
              <w:spacing w:after="0"/>
              <w:rPr>
                <w:sz w:val="20"/>
                <w:szCs w:val="20"/>
                <w:color w:val="auto"/>
              </w:rPr>
            </w:pPr>
            <w:r>
              <w:rPr>
                <w:rFonts w:ascii="Arial" w:cs="Arial" w:eastAsia="Arial" w:hAnsi="Arial"/>
                <w:sz w:val="18"/>
                <w:szCs w:val="18"/>
                <w:color w:val="auto"/>
                <w:w w:val="93"/>
              </w:rPr>
              <w:t>13.5%</w:t>
            </w:r>
          </w:p>
        </w:tc>
        <w:tc>
          <w:tcPr>
            <w:tcW w:w="1540" w:type="dxa"/>
            <w:vAlign w:val="bottom"/>
            <w:gridSpan w:val="3"/>
          </w:tcPr>
          <w:p>
            <w:pPr>
              <w:jc w:val="center"/>
              <w:ind w:left="272"/>
              <w:spacing w:after="0"/>
              <w:rPr>
                <w:sz w:val="20"/>
                <w:szCs w:val="20"/>
                <w:color w:val="auto"/>
              </w:rPr>
            </w:pPr>
            <w:r>
              <w:rPr>
                <w:rFonts w:ascii="Arial" w:cs="Arial" w:eastAsia="Arial" w:hAnsi="Arial"/>
                <w:sz w:val="18"/>
                <w:szCs w:val="18"/>
                <w:color w:val="auto"/>
                <w:w w:val="90"/>
              </w:rPr>
              <w:t>14.5%</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14.00%</w:t>
            </w:r>
          </w:p>
        </w:tc>
      </w:tr>
      <w:tr>
        <w:trPr>
          <w:trHeight w:val="229"/>
        </w:trPr>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90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3"/>
              </w:rPr>
              <w:t>15.0%</w:t>
            </w:r>
          </w:p>
        </w:tc>
        <w:tc>
          <w:tcPr>
            <w:tcW w:w="154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color w:val="auto"/>
                <w:w w:val="90"/>
              </w:rPr>
              <w:t>25.0%</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20.00%</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8. INCOME TAXES</w:t>
      </w:r>
    </w:p>
    <w:p>
      <w:pPr>
        <w:spacing w:after="0" w:line="12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Our effective income tax rate differed from the 21% statutory rate for the three and nine months ended September 30, 2023 and 2022 due to permanent differences between book and tax restricted stock expense based on a decrease in our stock price between the restricted stock grant and vesting dates and, for 2023, the discrete impact of life insurance proceeds received in the third quarter of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(LOSS) PER SHARE</w:t>
      </w:r>
    </w:p>
    <w:p>
      <w:pPr>
        <w:spacing w:after="0" w:line="121"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Basic earnings (loss) per common share is computed by dividing comprehensive income (loss) attributable to Westwood Holdings Group, Inc. by the weighted average number of shares outstanding for the applicable period. Diluted earnings (loss) per share is computed based on the weighted average number of shares outstanding plus the effect of any dilutive shares of restricted stock granted to employees and non-employee directors.</w:t>
      </w:r>
    </w:p>
    <w:p>
      <w:pPr>
        <w:spacing w:after="0" w:line="41" w:lineRule="exact"/>
        <w:rPr>
          <w:sz w:val="20"/>
          <w:szCs w:val="20"/>
          <w:color w:val="auto"/>
        </w:rPr>
      </w:pPr>
    </w:p>
    <w:p>
      <w:pPr>
        <w:ind w:right="440" w:firstLine="486"/>
        <w:spacing w:after="0" w:line="263" w:lineRule="auto"/>
        <w:rPr>
          <w:sz w:val="20"/>
          <w:szCs w:val="20"/>
          <w:color w:val="auto"/>
        </w:rPr>
      </w:pPr>
      <w:r>
        <w:rPr>
          <w:rFonts w:ascii="Arial" w:cs="Arial" w:eastAsia="Arial" w:hAnsi="Arial"/>
          <w:sz w:val="18"/>
          <w:szCs w:val="18"/>
          <w:color w:val="auto"/>
        </w:rPr>
        <w:t>There were approximately 56,000 and 150,000 anti-dilutive restricted shares outstanding for the three months ended September 30, 2023 and September 30, 2022, respectively. There were approximately 90,000 and 108,000 anti-dilutive restricted shares outstanding for the nine months ended September 30, 2023 and September 30, 2022, respectively.</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computation of basic and diluted earnings (loss) per share (in thousands, except per share and share amounts):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gridSpan w:val="5"/>
          </w:tcPr>
          <w:p>
            <w:pPr>
              <w:ind w:left="180"/>
              <w:spacing w:after="0"/>
              <w:rPr>
                <w:sz w:val="20"/>
                <w:szCs w:val="20"/>
                <w:color w:val="auto"/>
              </w:rPr>
            </w:pPr>
            <w:r>
              <w:rPr>
                <w:rFonts w:ascii="Arial" w:cs="Arial" w:eastAsia="Arial" w:hAnsi="Arial"/>
                <w:sz w:val="15"/>
                <w:szCs w:val="15"/>
                <w:b w:val="1"/>
                <w:bCs w:val="1"/>
                <w:color w:val="auto"/>
              </w:rPr>
              <w:t>Three Months Ended September 30,</w:t>
            </w:r>
          </w:p>
        </w:tc>
        <w:tc>
          <w:tcPr>
            <w:tcW w:w="320" w:type="dxa"/>
            <w:vAlign w:val="bottom"/>
          </w:tcPr>
          <w:p>
            <w:pPr>
              <w:spacing w:after="0"/>
              <w:rPr>
                <w:sz w:val="17"/>
                <w:szCs w:val="17"/>
                <w:color w:val="auto"/>
              </w:rPr>
            </w:pPr>
          </w:p>
        </w:tc>
        <w:tc>
          <w:tcPr>
            <w:tcW w:w="3000" w:type="dxa"/>
            <w:vAlign w:val="bottom"/>
            <w:gridSpan w:val="4"/>
          </w:tcPr>
          <w:p>
            <w:pPr>
              <w:jc w:val="right"/>
              <w:ind w:right="436"/>
              <w:spacing w:after="0"/>
              <w:rPr>
                <w:sz w:val="20"/>
                <w:szCs w:val="20"/>
                <w:color w:val="auto"/>
              </w:rPr>
            </w:pPr>
            <w:r>
              <w:rPr>
                <w:rFonts w:ascii="Arial" w:cs="Arial" w:eastAsia="Arial" w:hAnsi="Arial"/>
                <w:sz w:val="15"/>
                <w:szCs w:val="15"/>
                <w:b w:val="1"/>
                <w:bCs w:val="1"/>
                <w:color w:val="auto"/>
                <w:w w:val="99"/>
              </w:rPr>
              <w:t>Nine Months Ended September 30,</w:t>
            </w:r>
          </w:p>
        </w:tc>
        <w:tc>
          <w:tcPr>
            <w:tcW w:w="0" w:type="dxa"/>
            <w:vAlign w:val="bottom"/>
          </w:tcPr>
          <w:p>
            <w:pPr>
              <w:spacing w:after="0"/>
              <w:rPr>
                <w:sz w:val="1"/>
                <w:szCs w:val="1"/>
                <w:color w:val="auto"/>
              </w:rPr>
            </w:pPr>
          </w:p>
        </w:tc>
      </w:tr>
      <w:tr>
        <w:trPr>
          <w:trHeight w:val="198"/>
        </w:trPr>
        <w:tc>
          <w:tcPr>
            <w:tcW w:w="45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ind w:left="20"/>
              <w:spacing w:after="0" w:line="144" w:lineRule="exact"/>
              <w:rPr>
                <w:sz w:val="20"/>
                <w:szCs w:val="20"/>
                <w:color w:val="auto"/>
              </w:rPr>
            </w:pPr>
            <w:r>
              <w:rPr>
                <w:rFonts w:ascii="Arial" w:cs="Arial" w:eastAsia="Arial" w:hAnsi="Arial"/>
                <w:sz w:val="16"/>
                <w:szCs w:val="16"/>
                <w:b w:val="1"/>
                <w:bCs w:val="1"/>
                <w:color w:val="auto"/>
              </w:rPr>
              <w:t>Comprehensive income (loss) attributable to Westwood</w:t>
            </w:r>
          </w:p>
        </w:tc>
        <w:tc>
          <w:tcPr>
            <w:tcW w:w="30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3,356</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6,944</w:t>
            </w:r>
          </w:p>
        </w:tc>
        <w:tc>
          <w:tcPr>
            <w:tcW w:w="12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(1,503)</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Holdings Group, Inc.</w:t>
            </w:r>
          </w:p>
        </w:tc>
        <w:tc>
          <w:tcPr>
            <w:tcW w:w="30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Arial" w:cs="Arial" w:eastAsia="Arial" w:hAnsi="Arial"/>
                <w:sz w:val="17"/>
                <w:szCs w:val="17"/>
                <w:b w:val="1"/>
                <w:bCs w:val="1"/>
                <w:color w:val="auto"/>
              </w:rPr>
              <w:t>Weighted average shares outstanding - basic</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8,002,537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7,794,060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7,949,773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7,867,555</w:t>
            </w: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Dilutive potential shares from unvested restricted shares</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114,210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122,966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7"/>
                <w:szCs w:val="17"/>
                <w:b w:val="1"/>
                <w:bCs w:val="1"/>
                <w:color w:val="auto"/>
              </w:rPr>
              <w:t>Weighted average shares outstanding - diluted</w:t>
            </w: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8,116,747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7,794,060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8,072,739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7,867,555</w:t>
            </w:r>
          </w:p>
        </w:tc>
        <w:tc>
          <w:tcPr>
            <w:tcW w:w="0" w:type="dxa"/>
            <w:vAlign w:val="bottom"/>
          </w:tcPr>
          <w:p>
            <w:pPr>
              <w:spacing w:after="0"/>
              <w:rPr>
                <w:sz w:val="1"/>
                <w:szCs w:val="1"/>
                <w:color w:val="auto"/>
              </w:rPr>
            </w:pPr>
          </w:p>
        </w:tc>
      </w:tr>
      <w:tr>
        <w:trPr>
          <w:trHeight w:val="236"/>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Earnings (loss) per share:</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7"/>
                <w:szCs w:val="17"/>
                <w:color w:val="auto"/>
              </w:rPr>
              <w:t>Basic</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0.42</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0.87</w:t>
            </w:r>
          </w:p>
        </w:tc>
        <w:tc>
          <w:tcPr>
            <w:tcW w:w="12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(0.19)</w:t>
            </w:r>
          </w:p>
        </w:tc>
        <w:tc>
          <w:tcPr>
            <w:tcW w:w="0" w:type="dxa"/>
            <w:vAlign w:val="bottom"/>
          </w:tcPr>
          <w:p>
            <w:pPr>
              <w:spacing w:after="0"/>
              <w:rPr>
                <w:sz w:val="1"/>
                <w:szCs w:val="1"/>
                <w:color w:val="auto"/>
              </w:rPr>
            </w:pPr>
          </w:p>
        </w:tc>
      </w:tr>
      <w:tr>
        <w:trPr>
          <w:trHeight w:val="236"/>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54" w:lineRule="exact"/>
        <w:rPr>
          <w:sz w:val="20"/>
          <w:szCs w:val="20"/>
          <w:color w:val="auto"/>
        </w:rPr>
      </w:pPr>
    </w:p>
    <w:p>
      <w:pPr>
        <w:ind w:right="6900" w:firstLine="8"/>
        <w:spacing w:after="0" w:line="377" w:lineRule="auto"/>
        <w:tabs>
          <w:tab w:leader="none" w:pos="2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Goodwill</w:t>
      </w:r>
    </w:p>
    <w:p>
      <w:pPr>
        <w:spacing w:after="0" w:line="2"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Goodwill represents the excess of the cost of acquired assets over the fair value of the underlying identifiable assets at the date of acquisition. Goodwill is not amortized but is reviewed for impairment annually, or between annual assessments if a triggering event occurs or circumstances change that would more likely than not result in the fair value of a reporting unit below its carrying amount. We completed our most recent annual goodwill impairment assessment during the third quarter of 2023 and determined that no goodwill impairment related to the Advisory or Trust segment was required. There was no goodwill impairment during the three and nine months ended September 30, 2023 or September 30, 2022.</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goodwill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4"/>
          </w:tcPr>
          <w:p>
            <w:pPr>
              <w:jc w:val="right"/>
              <w:ind w:right="1515"/>
              <w:spacing w:after="0"/>
              <w:rPr>
                <w:sz w:val="20"/>
                <w:szCs w:val="20"/>
                <w:color w:val="auto"/>
              </w:rPr>
            </w:pPr>
            <w:r>
              <w:rPr>
                <w:rFonts w:ascii="Arial" w:cs="Arial" w:eastAsia="Arial" w:hAnsi="Arial"/>
                <w:sz w:val="16"/>
                <w:szCs w:val="16"/>
                <w:b w:val="1"/>
                <w:bCs w:val="1"/>
                <w:color w:val="auto"/>
              </w:rPr>
              <w:t>September 30, 2023</w:t>
            </w: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35,732</w:t>
            </w:r>
          </w:p>
        </w:tc>
      </w:tr>
      <w:tr>
        <w:trPr>
          <w:trHeight w:val="229"/>
        </w:trPr>
        <w:tc>
          <w:tcPr>
            <w:tcW w:w="6680" w:type="dxa"/>
            <w:vAlign w:val="bottom"/>
          </w:tcPr>
          <w:p>
            <w:pPr>
              <w:ind w:left="140"/>
              <w:spacing w:after="0" w:line="230" w:lineRule="exact"/>
              <w:rPr>
                <w:sz w:val="20"/>
                <w:szCs w:val="20"/>
                <w:color w:val="auto"/>
              </w:rPr>
            </w:pPr>
            <w:r>
              <w:rPr>
                <w:rFonts w:ascii="Arial" w:cs="Arial" w:eastAsia="Arial" w:hAnsi="Arial"/>
                <w:sz w:val="18"/>
                <w:szCs w:val="18"/>
                <w:color w:val="auto"/>
              </w:rPr>
              <w:t>Broadmark Acquisition</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2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4,197</w:t>
            </w:r>
          </w:p>
        </w:tc>
      </w:tr>
      <w:tr>
        <w:trPr>
          <w:trHeight w:val="229"/>
        </w:trPr>
        <w:tc>
          <w:tcPr>
            <w:tcW w:w="66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Salient Acquisition Adjustment</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r>
      <w:tr>
        <w:trPr>
          <w:trHeight w:val="217"/>
        </w:trPr>
        <w:tc>
          <w:tcPr>
            <w:tcW w:w="66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39,501</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39,501</w:t>
            </w:r>
          </w:p>
        </w:tc>
      </w:tr>
      <w:tr>
        <w:trPr>
          <w:trHeight w:val="27"/>
        </w:trPr>
        <w:tc>
          <w:tcPr>
            <w:tcW w:w="6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158" w:lineRule="exact"/>
        <w:rPr>
          <w:sz w:val="20"/>
          <w:szCs w:val="20"/>
          <w:color w:val="auto"/>
        </w:rPr>
      </w:pPr>
    </w:p>
    <w:p>
      <w:pPr>
        <w:ind w:left="100" w:hanging="92"/>
        <w:spacing w:after="0"/>
        <w:tabs>
          <w:tab w:leader="none" w:pos="10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$4.2 million of acquired goodwill is attributable to the Advisory segment.</w:t>
      </w:r>
    </w:p>
    <w:p>
      <w:pPr>
        <w:spacing w:after="0" w:line="56" w:lineRule="exact"/>
        <w:rPr>
          <w:sz w:val="20"/>
          <w:szCs w:val="20"/>
          <w:color w:val="auto"/>
        </w:rPr>
      </w:pPr>
    </w:p>
    <w:p>
      <w:pPr>
        <w:ind w:left="100" w:hanging="92"/>
        <w:spacing w:after="0"/>
        <w:tabs>
          <w:tab w:leader="none" w:pos="10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Represents subsequent purchase price adjustments for the 2022 Salient Acquisition.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and nine months ended September 30, 2023 or September 30,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11. LEASES</w:t>
      </w:r>
    </w:p>
    <w:p>
      <w:pPr>
        <w:spacing w:after="0" w:line="121"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As of September 30, 2023 there have been no material changes outside the ordinary course of business to our leases since December 31, 2022. For information regarding our leases, refer to Note 12 “Leases” in Part IV, Item 15. “Exhibits, Financial Statement Schedules” in our Annual Report on Form 10-K for the fiscal year ended December 31, 2022.</w:t>
      </w:r>
    </w:p>
    <w:p>
      <w:pPr>
        <w:spacing w:after="0" w:line="200" w:lineRule="exact"/>
        <w:rPr>
          <w:sz w:val="20"/>
          <w:szCs w:val="20"/>
          <w:color w:val="auto"/>
        </w:rPr>
      </w:pPr>
    </w:p>
    <w:p>
      <w:pPr>
        <w:spacing w:after="0" w:line="223" w:lineRule="exact"/>
        <w:rPr>
          <w:sz w:val="20"/>
          <w:szCs w:val="20"/>
          <w:color w:val="auto"/>
        </w:rPr>
      </w:pPr>
    </w:p>
    <w:p>
      <w:pPr>
        <w:ind w:right="8660" w:firstLine="8"/>
        <w:spacing w:after="0" w:line="378" w:lineRule="auto"/>
        <w:tabs>
          <w:tab w:leader="none" w:pos="27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Share Repurchase Program</w:t>
      </w:r>
    </w:p>
    <w:p>
      <w:pPr>
        <w:ind w:left="500"/>
        <w:spacing w:after="0"/>
        <w:rPr>
          <w:sz w:val="20"/>
          <w:szCs w:val="20"/>
          <w:color w:val="auto"/>
        </w:rPr>
      </w:pPr>
      <w:r>
        <w:rPr>
          <w:rFonts w:ascii="Arial" w:cs="Arial" w:eastAsia="Arial" w:hAnsi="Arial"/>
          <w:sz w:val="18"/>
          <w:szCs w:val="18"/>
          <w:color w:val="auto"/>
        </w:rPr>
        <w:t>As of September 30, 2023, there are $1.9 million of shares that may yet be repurchased under our plan.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 and nine months ended September 30, 2023, the Company did not repurchase any shares of our common stock.</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three months ended September 30, 2022, the Company repurchased 99,444 shares of our common stock at an average price of $12.64 per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share, including commissions, for an aggregate purchase price of $1.3 million under our share repurchase plan. During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the Company repurchased 169,630 shares of our common stock at an average price of $13.47 per share, including commissions, for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purchase price of $2.3 million under our share repurchase plan, and 35,891 shares of our common stock at an average price of $15.75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including commissions, for an aggregate purchase price of $0.6 million on the open market.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121" w:lineRule="exact"/>
        <w:rPr>
          <w:sz w:val="20"/>
          <w:szCs w:val="20"/>
          <w:color w:val="auto"/>
        </w:rPr>
      </w:pPr>
    </w:p>
    <w:p>
      <w:pPr>
        <w:ind w:right="340" w:firstLine="486"/>
        <w:spacing w:after="0" w:line="301" w:lineRule="auto"/>
        <w:rPr>
          <w:sz w:val="20"/>
          <w:szCs w:val="20"/>
          <w:color w:val="auto"/>
        </w:rPr>
      </w:pPr>
      <w:r>
        <w:rPr>
          <w:rFonts w:ascii="Arial" w:cs="Arial" w:eastAsia="Arial" w:hAnsi="Arial"/>
          <w:sz w:val="16"/>
          <w:szCs w:val="16"/>
          <w:color w:val="auto"/>
        </w:rPr>
        <w:t xml:space="preserve">We evaluated (i) our relationship as sponsor of the Common Trust Funds (“CTFs”) and managing member of the private equity funds Westwood Hospitality and Westwood Technology Opportunities Fund I, LP (collectively the “Private Funds”), (ii) our advisory relationships with the Westwood Funds® and (iii) our investments in InvestCloud, Vista, Zarvona Energy Fund GP and Zarvona Energy Fund II-A as discussed in Note 6 </w:t>
      </w:r>
      <w:r>
        <w:rPr>
          <w:rFonts w:ascii="Arial" w:cs="Arial" w:eastAsia="Arial" w:hAnsi="Arial"/>
          <w:sz w:val="16"/>
          <w:szCs w:val="16"/>
          <w:color w:val="222222"/>
        </w:rPr>
        <w:t>“Investments”</w:t>
      </w:r>
      <w:r>
        <w:rPr>
          <w:rFonts w:ascii="Arial" w:cs="Arial" w:eastAsia="Arial" w:hAnsi="Arial"/>
          <w:sz w:val="16"/>
          <w:szCs w:val="16"/>
          <w:color w:val="auto"/>
        </w:rPr>
        <w:t xml:space="preserve"> (“Private Equity”) to determine whether each of these entities is a variable interest entity (“VIE”) or voting ownership entity (“VOE”).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Based on our analyses, we determined that the CTFs, Private Funds and Zarvona Energy Fund II-A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 As we do not qualify as primary beneficiaries for those entities, we have not consolidated our investments in those entities for the periods ending September 30, 2023 and December 31, 2022.</w:t>
      </w:r>
    </w:p>
    <w:p>
      <w:pPr>
        <w:spacing w:after="0" w:line="8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Based on our analyses, we determined the Westwood Funds®, InvestCloud, Vista and Zarvona Energy Fund GP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 As we do not own controlling financial interests in those entities, we have not consolidated our investments in those entities for the periods ending September 30, 2023 and December 31, 2022.</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recognized fee revenue from the Westwood VIEs and Westwood VOEs as follows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5"/>
          </w:tcPr>
          <w:p>
            <w:pPr>
              <w:ind w:left="10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980" w:type="dxa"/>
            <w:vAlign w:val="bottom"/>
            <w:gridSpan w:val="4"/>
          </w:tcPr>
          <w:p>
            <w:pPr>
              <w:jc w:val="right"/>
              <w:ind w:right="1315"/>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2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5"/>
              </w:rPr>
              <w:t>September 30, 2022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September 30, 2023</w:t>
            </w: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255"/>
              <w:spacing w:after="0"/>
              <w:rPr>
                <w:sz w:val="20"/>
                <w:szCs w:val="20"/>
                <w:color w:val="auto"/>
              </w:rPr>
            </w:pPr>
            <w:r>
              <w:rPr>
                <w:rFonts w:ascii="Arial" w:cs="Arial" w:eastAsia="Arial" w:hAnsi="Arial"/>
                <w:sz w:val="16"/>
                <w:szCs w:val="16"/>
                <w:b w:val="1"/>
                <w:bCs w:val="1"/>
                <w:color w:val="auto"/>
                <w:w w:val="97"/>
              </w:rPr>
              <w:t>September 30, 2022</w:t>
            </w:r>
          </w:p>
        </w:tc>
      </w:tr>
      <w:tr>
        <w:trPr>
          <w:trHeight w:val="226"/>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Fee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bl>
    <w:p>
      <w:pPr>
        <w:spacing w:after="0" w:line="200" w:lineRule="exact"/>
        <w:rPr>
          <w:sz w:val="20"/>
          <w:szCs w:val="20"/>
          <w:color w:val="auto"/>
        </w:rPr>
      </w:pPr>
    </w:p>
    <w:p>
      <w:pPr>
        <w:spacing w:after="0" w:line="3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the AUM and the risk of loss in each vehicle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6"/>
                <w:szCs w:val="16"/>
                <w:b w:val="1"/>
                <w:bCs w:val="1"/>
                <w:color w:val="auto"/>
                <w:w w:val="90"/>
              </w:rPr>
              <w:t>As of September 30, 2023</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83"/>
              </w:rPr>
              <w:t>Assets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vMerge w:val="restart"/>
          </w:tcPr>
          <w:p>
            <w:pPr>
              <w:jc w:val="center"/>
              <w:ind w:right="480"/>
              <w:spacing w:after="0"/>
              <w:rPr>
                <w:sz w:val="20"/>
                <w:szCs w:val="20"/>
                <w:color w:val="auto"/>
              </w:rPr>
            </w:pPr>
            <w:r>
              <w:rPr>
                <w:rFonts w:ascii="Arial" w:cs="Arial" w:eastAsia="Arial" w:hAnsi="Arial"/>
                <w:sz w:val="16"/>
                <w:szCs w:val="16"/>
                <w:b w:val="1"/>
                <w:bCs w:val="1"/>
                <w:color w:val="auto"/>
                <w:w w:val="94"/>
              </w:rPr>
              <w:t>Corporate</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5"/>
              </w:rPr>
              <w:t>Under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3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Amount at Risk</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Management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2"/>
              </w:rPr>
              <w:t>Investment</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VIEs/VOEs: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60"/>
              <w:spacing w:after="0"/>
              <w:rPr>
                <w:sz w:val="20"/>
                <w:szCs w:val="20"/>
                <w:color w:val="auto"/>
              </w:rPr>
            </w:pPr>
            <w:r>
              <w:rPr>
                <w:rFonts w:ascii="Arial" w:cs="Arial" w:eastAsia="Arial" w:hAnsi="Arial"/>
                <w:sz w:val="18"/>
                <w:szCs w:val="18"/>
                <w:color w:val="auto"/>
              </w:rPr>
              <w:t>Westwood Funds®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3,924</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Trust Funds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360"/>
              <w:spacing w:after="0"/>
              <w:rPr>
                <w:sz w:val="20"/>
                <w:szCs w:val="20"/>
                <w:color w:val="auto"/>
              </w:rPr>
            </w:pPr>
            <w:r>
              <w:rPr>
                <w:rFonts w:ascii="Arial" w:cs="Arial" w:eastAsia="Arial" w:hAnsi="Arial"/>
                <w:sz w:val="18"/>
                <w:szCs w:val="18"/>
                <w:color w:val="auto"/>
              </w:rPr>
              <w:t>Private Funds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All other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Wealth Management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Institutional</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6,697</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Under Management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14. RELATED PARTY TRANSACTIONS</w:t>
      </w:r>
    </w:p>
    <w:p>
      <w:pPr>
        <w:spacing w:after="0" w:line="12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Company engages in transactions with its affiliates in the ordinary course of business. Westwood Management provides investment advisory services to the Westwood Funds®. Under the terms of the investment advisory agreements, the Company earns quarterly fees paid by clients of the fund or by the funds directly. The fees are based on negotiated fee schedules applied to AUM. For the three and nine months ended September 30, 2023 and September 30, 2022, the Company earned immaterial fees from the affiliated funds.</w:t>
      </w:r>
    </w:p>
    <w:p>
      <w:pPr>
        <w:spacing w:after="0" w:line="79" w:lineRule="exact"/>
        <w:rPr>
          <w:sz w:val="20"/>
          <w:szCs w:val="20"/>
          <w:color w:val="auto"/>
        </w:rPr>
      </w:pPr>
    </w:p>
    <w:p>
      <w:pPr>
        <w:ind w:right="780" w:firstLine="486"/>
        <w:spacing w:after="0" w:line="277" w:lineRule="auto"/>
        <w:rPr>
          <w:sz w:val="20"/>
          <w:szCs w:val="20"/>
          <w:color w:val="auto"/>
        </w:rPr>
      </w:pPr>
      <w:r>
        <w:rPr>
          <w:rFonts w:ascii="Arial" w:cs="Arial" w:eastAsia="Arial" w:hAnsi="Arial"/>
          <w:sz w:val="18"/>
          <w:szCs w:val="18"/>
          <w:color w:val="auto"/>
        </w:rPr>
        <w:t>One of our directors serves as a consultant to the Company under a consulting agreement. We recorded immaterial expenses related to this agreement for the three and nine months ended September 30, 2023 and September 30, 2022.</w:t>
      </w:r>
    </w:p>
    <w:p>
      <w:pPr>
        <w:spacing w:after="0" w:line="220" w:lineRule="exact"/>
        <w:rPr>
          <w:sz w:val="20"/>
          <w:szCs w:val="20"/>
          <w:color w:val="auto"/>
        </w:rPr>
      </w:pPr>
    </w:p>
    <w:p>
      <w:pPr>
        <w:ind w:left="500" w:right="8980" w:hanging="492"/>
        <w:spacing w:after="0" w:line="400" w:lineRule="auto"/>
        <w:tabs>
          <w:tab w:leader="none" w:pos="284"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i w:val="1"/>
          <w:iCs w:val="1"/>
          <w:color w:val="auto"/>
        </w:rPr>
        <w:t>Dividend Declared</w:t>
      </w:r>
    </w:p>
    <w:p>
      <w:pPr>
        <w:ind w:right="160" w:firstLine="486"/>
        <w:spacing w:after="0" w:line="277" w:lineRule="auto"/>
        <w:rPr>
          <w:sz w:val="20"/>
          <w:szCs w:val="20"/>
          <w:color w:val="auto"/>
        </w:rPr>
      </w:pPr>
      <w:r>
        <w:rPr>
          <w:rFonts w:ascii="Arial" w:cs="Arial" w:eastAsia="Arial" w:hAnsi="Arial"/>
          <w:sz w:val="18"/>
          <w:szCs w:val="18"/>
          <w:color w:val="auto"/>
        </w:rPr>
        <w:t>On October 31, 2023, the Board of Directors declared a quarterly cash dividend of $0.15 per share of common stock payable on January 3, 2024 to stockholders of record on December 1, 2023.</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right="900"/>
        <w:spacing w:after="0" w:line="37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Forward-Looking Statements</w:t>
      </w:r>
    </w:p>
    <w:p>
      <w:pPr>
        <w:spacing w:after="0" w:line="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2022 and those risks set forth below:</w:t>
      </w:r>
    </w:p>
    <w:p>
      <w:pPr>
        <w:spacing w:after="0" w:line="69"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composition and market value of our AUM and AUA;</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actions of activist stockholders;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distributions to our common stockholders have included and may in the future include a return of capital;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inclusion of foreign company investments in our AUM;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the operations and funds of our subsidiaries;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prevent misuse of assets and information in the possession of our employees and third-party vendors, which could damage our reputation and result in costly litigation and liability for our clients and us;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stock is thinly traded and may be subject to volatility;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avoid termination of client agreements and the related investment redemptions;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117"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made and may continue to make business combinations as a part of our business strategy, which may present certain risks and uncertainties;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declare and pay dividends;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fund future capital requirements on favorable terms;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ectPr>
          <w:pgSz w:w="11900" w:h="16838" w:orient="portrait"/>
          <w:cols w:equalWidth="0" w:num="1">
            <w:col w:w="11040"/>
          </w:cols>
          <w:pgMar w:left="320" w:top="1093"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93" w:right="539" w:bottom="1440" w:gutter="0" w:footer="0" w:header="0"/>
          <w:type w:val="continuous"/>
        </w:sectPr>
      </w:pPr>
    </w:p>
    <w:bookmarkStart w:id="19" w:name="page20"/>
    <w:bookmarkEnd w:id="19"/>
    <w:p>
      <w:pPr>
        <w:ind w:right="140" w:firstLine="486"/>
        <w:spacing w:after="0" w:line="263"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jc w:val="both"/>
        <w:ind w:right="340" w:firstLine="486"/>
        <w:spacing w:after="0" w:line="263" w:lineRule="auto"/>
        <w:rPr>
          <w:sz w:val="20"/>
          <w:szCs w:val="20"/>
          <w:color w:val="auto"/>
        </w:rPr>
      </w:pPr>
      <w:r>
        <w:rPr>
          <w:rFonts w:ascii="Arial" w:cs="Arial" w:eastAsia="Arial" w:hAnsi="Arial"/>
          <w:sz w:val="18"/>
          <w:szCs w:val="18"/>
          <w:color w:val="auto"/>
        </w:rPr>
        <w:t>We manage investment assets and provide services for our clients through our subsidiaries, Westwood Management Corp., Westwood Advisors, L.L.C., Salient Advisors, LP and Broadmark Asset Management LLC (each of which is an SEC-registered investment advisor ("RIA") and referred to hereinafter together as “Westwood Management”) and Westwood Trust.</w:t>
      </w:r>
    </w:p>
    <w:p>
      <w:pPr>
        <w:spacing w:after="0" w:line="76" w:lineRule="exact"/>
        <w:rPr>
          <w:sz w:val="20"/>
          <w:szCs w:val="20"/>
          <w:color w:val="auto"/>
        </w:rPr>
      </w:pPr>
    </w:p>
    <w:p>
      <w:pPr>
        <w:jc w:val="both"/>
        <w:ind w:right="300" w:firstLine="486"/>
        <w:spacing w:after="0" w:line="263" w:lineRule="auto"/>
        <w:rPr>
          <w:sz w:val="20"/>
          <w:szCs w:val="20"/>
          <w:color w:val="auto"/>
        </w:rPr>
      </w:pPr>
      <w:r>
        <w:rPr>
          <w:rFonts w:ascii="Arial" w:cs="Arial" w:eastAsia="Arial" w:hAnsi="Arial"/>
          <w:sz w:val="18"/>
          <w:szCs w:val="18"/>
          <w:color w:val="auto"/>
        </w:rPr>
        <w:t>Westwood Management provides investment advisory services to institutional investors, a family of mutual funds called the Westwood Funds®, other mutual funds, individuals and clients of Westwood Trust. Westwood Trust provides trust and custodial services and participation in common trust funds to institutions and high net worth individuals.</w:t>
      </w:r>
    </w:p>
    <w:p>
      <w:pPr>
        <w:spacing w:after="0" w:line="76"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In January 2023 we acquired an additional 32% interest in Broadmark for $1.6 million, increasing our ownership of Broadmark to approximately 80%. Broadmark's tactical absolute return strategies offer us an established client base and provide future growth potential. Prior to the Broadmark acquisition, we had a $2.4 million equity method investment in Broadmark, which we derecognized upon acquiring a controlling interest in January 2023.</w:t>
      </w:r>
    </w:p>
    <w:p>
      <w:pPr>
        <w:spacing w:after="0" w:line="4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Our revenues are generally derived from fees based on a percentage of AUM and AUA, and Westwood Management and Westwood Trust collectively had AUM of approximately $14.4 billion and AUA of approximately $1.1 billion at September 30, 2023. We have established a track record of delivering competitive, risk-adjusted returns for our clients.</w:t>
      </w:r>
    </w:p>
    <w:p>
      <w:pPr>
        <w:spacing w:after="0" w:line="7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With respect to most of our client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with an average of over twenty years of investment experience among members.</w:t>
      </w:r>
    </w:p>
    <w:p>
      <w:pPr>
        <w:spacing w:after="0" w:line="80"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believe that investors will recognize the potential for new revenue streams inherent in these products and services; however, there is no guarantee that they will occur.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88"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other revenues primarily consist of investment income from seed money investments into new investment strategies.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5"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Employee compensation and benefits costs generally consist of salaries, sales commissions, incentive compensation, stock-based compensation expense and benefits.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and marketing costs relate to our marketing efforts, including travel and entertainment, direct marketing and advertising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mutual funds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Expenses for Westwood mutual funds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technology</w:t>
      </w:r>
    </w:p>
    <w:p>
      <w:pPr>
        <w:spacing w:after="0" w:line="117"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Information technology expenses include costs associated with proprietary investment research tools, maintenance and support, computing hardware, software licenses, telecommunications and other related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Professional services expenses generally consist of costs associated with sub-advisory fees, audit, legal and other professional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from change in fair value of contingent consideration</w:t>
      </w:r>
    </w:p>
    <w:p>
      <w:pPr>
        <w:spacing w:after="0" w:line="11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(Gain) loss from change in fair value of contingent consideration consists of fair value adjustments related to contingent consideration from our 2022 acquisition of Salient.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Acquisition expense consists of costs related to our 2022 acquisition of Salient.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unrealized appreciation (depreciation) on private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change in unrealized appreciation (depreciation) on private investments includes changes in the value of our private equity 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 income primarily includes interest and dividend income on fixed income securities and money market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Other income primarily consists of income from the sublease of a portion of our corporate offices and the receipt of insurance proceeds.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Firm-wide Assets Under Management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Firm-wide assets under management of $15.5 billion at September 30, 2023 consisted of $14.4 billion of AUM and $1.1 billion of AUA.</w:t>
      </w:r>
    </w:p>
    <w:p>
      <w:pPr>
        <w:spacing w:after="0" w:line="1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AUM increased $2.9 billion to $14.4 billion at September 30, 2023 compared with $11.5 billion at September 30, 2022. The average of beginning and ending AUM for the third quarter of 2023 was $14.7 billion compared to $11.8 billion for the third quarter of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05" w:right="579" w:bottom="1440" w:gutter="0" w:footer="0" w:header="0"/>
        </w:sectPr>
      </w:pPr>
    </w:p>
    <w:bookmarkStart w:id="21" w:name="page22"/>
    <w:bookmarkEnd w:id="21"/>
    <w:p>
      <w:pPr>
        <w:ind w:left="500"/>
        <w:spacing w:after="0"/>
        <w:rPr>
          <w:sz w:val="20"/>
          <w:szCs w:val="20"/>
          <w:color w:val="auto"/>
        </w:rPr>
      </w:pPr>
      <w:r>
        <w:rPr>
          <w:rFonts w:ascii="Arial" w:cs="Arial" w:eastAsia="Arial" w:hAnsi="Arial"/>
          <w:sz w:val="18"/>
          <w:szCs w:val="18"/>
          <w:color w:val="auto"/>
        </w:rPr>
        <w:t>The following table displays AUM as of September 30, 2023 and 2022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As of September 30,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Change</w:t>
            </w:r>
          </w:p>
        </w:tc>
      </w:tr>
      <w:tr>
        <w:trPr>
          <w:trHeight w:val="226"/>
        </w:trPr>
        <w:tc>
          <w:tcPr>
            <w:tcW w:w="74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Institutional</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r>
      <w:tr>
        <w:trPr>
          <w:trHeight w:val="230"/>
        </w:trPr>
        <w:tc>
          <w:tcPr>
            <w:tcW w:w="7400" w:type="dxa"/>
            <w:vAlign w:val="bottom"/>
          </w:tcPr>
          <w:p>
            <w:pPr>
              <w:ind w:left="20"/>
              <w:spacing w:after="0" w:line="230" w:lineRule="exact"/>
              <w:rPr>
                <w:sz w:val="20"/>
                <w:szCs w:val="20"/>
                <w:color w:val="auto"/>
              </w:rPr>
            </w:pPr>
            <w:r>
              <w:rPr>
                <w:rFonts w:ascii="Arial" w:cs="Arial" w:eastAsia="Arial" w:hAnsi="Arial"/>
                <w:sz w:val="18"/>
                <w:szCs w:val="18"/>
                <w:color w:val="auto"/>
              </w:rPr>
              <w:t>Wealth Management</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3,528</w:t>
            </w:r>
          </w:p>
        </w:tc>
        <w:tc>
          <w:tcPr>
            <w:tcW w:w="1300" w:type="dxa"/>
            <w:vAlign w:val="bottom"/>
            <w:gridSpan w:val="2"/>
          </w:tcPr>
          <w:p>
            <w:pPr>
              <w:jc w:val="right"/>
              <w:ind w:right="121"/>
              <w:spacing w:after="0"/>
              <w:rPr>
                <w:sz w:val="20"/>
                <w:szCs w:val="20"/>
                <w:color w:val="auto"/>
              </w:rPr>
            </w:pPr>
            <w:r>
              <w:rPr>
                <w:rFonts w:ascii="Arial" w:cs="Arial" w:eastAsia="Arial" w:hAnsi="Arial"/>
                <w:sz w:val="17"/>
                <w:szCs w:val="17"/>
                <w:color w:val="auto"/>
              </w:rPr>
              <w:t>7</w:t>
            </w:r>
          </w:p>
        </w:tc>
      </w:tr>
      <w:tr>
        <w:trPr>
          <w:trHeight w:val="229"/>
        </w:trPr>
        <w:tc>
          <w:tcPr>
            <w:tcW w:w="7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62</w:t>
            </w:r>
          </w:p>
        </w:tc>
      </w:tr>
      <w:tr>
        <w:trPr>
          <w:trHeight w:val="223"/>
        </w:trPr>
        <w:tc>
          <w:tcPr>
            <w:tcW w:w="74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Total AUM</w:t>
            </w:r>
            <w:r>
              <w:rPr>
                <w:rFonts w:ascii="Arial" w:cs="Arial" w:eastAsia="Arial" w:hAnsi="Arial"/>
                <w:sz w:val="23"/>
                <w:szCs w:val="23"/>
                <w:b w:val="1"/>
                <w:bCs w:val="1"/>
                <w:color w:val="auto"/>
                <w:vertAlign w:val="superscript"/>
              </w:rPr>
              <w:t>(4)</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11,466</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26 %</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58" w:lineRule="auto"/>
        <w:tabs>
          <w:tab w:leader="none" w:pos="332"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RIAs that offer Westwood products to their customers.</w:t>
      </w:r>
    </w:p>
    <w:p>
      <w:pPr>
        <w:jc w:val="both"/>
        <w:ind w:left="340" w:hanging="332"/>
        <w:spacing w:after="0" w:line="256" w:lineRule="auto"/>
        <w:tabs>
          <w:tab w:leader="none" w:pos="332"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and unaffiliated sub-advisors. For certain assets in this category Westwood Trust provides limited custodial services for a minimal or no fee, viewing these assets as potentially converting to fee-generating managed assets in the future.</w:t>
      </w:r>
    </w:p>
    <w:p>
      <w:pPr>
        <w:spacing w:after="0" w:line="1" w:lineRule="exact"/>
        <w:rPr>
          <w:rFonts w:ascii="Arial" w:cs="Arial" w:eastAsia="Arial" w:hAnsi="Arial"/>
          <w:sz w:val="14"/>
          <w:szCs w:val="14"/>
          <w:color w:val="auto"/>
        </w:rPr>
      </w:pPr>
    </w:p>
    <w:p>
      <w:pPr>
        <w:ind w:left="340" w:hanging="332"/>
        <w:spacing w:after="0" w:line="261" w:lineRule="auto"/>
        <w:tabs>
          <w:tab w:leader="none" w:pos="332" w:val="left"/>
        </w:tabs>
        <w:numPr>
          <w:ilvl w:val="0"/>
          <w:numId w:val="14"/>
        </w:numPr>
        <w:rPr>
          <w:rFonts w:ascii="Arial" w:cs="Arial" w:eastAsia="Arial" w:hAnsi="Arial"/>
          <w:sz w:val="14"/>
          <w:szCs w:val="14"/>
          <w:color w:val="auto"/>
        </w:rPr>
      </w:pPr>
      <w:r>
        <w:rPr>
          <w:rFonts w:ascii="Arial" w:cs="Arial" w:eastAsia="Arial" w:hAnsi="Arial"/>
          <w:sz w:val="14"/>
          <w:szCs w:val="14"/>
          <w:color w:val="auto"/>
        </w:rPr>
        <w:t>Mutual Funds include the Westwood Funds®, a family of mutual funds for which Westwood Management serves as advisor. These funds are available to individual investors, institutional investors and wealth management accounts.</w:t>
      </w:r>
    </w:p>
    <w:p>
      <w:pPr>
        <w:ind w:left="340" w:right="20" w:hanging="332"/>
        <w:spacing w:after="0" w:line="283" w:lineRule="auto"/>
        <w:tabs>
          <w:tab w:leader="none" w:pos="332" w:val="left"/>
        </w:tabs>
        <w:numPr>
          <w:ilvl w:val="0"/>
          <w:numId w:val="14"/>
        </w:numPr>
        <w:rPr>
          <w:rFonts w:ascii="Arial" w:cs="Arial" w:eastAsia="Arial" w:hAnsi="Arial"/>
          <w:sz w:val="14"/>
          <w:szCs w:val="14"/>
          <w:color w:val="auto"/>
        </w:rPr>
      </w:pPr>
      <w:r>
        <w:rPr>
          <w:rFonts w:ascii="Arial" w:cs="Arial" w:eastAsia="Arial" w:hAnsi="Arial"/>
          <w:sz w:val="14"/>
          <w:szCs w:val="14"/>
          <w:color w:val="auto"/>
        </w:rPr>
        <w:t>AUM excludes $1.1 billion and $298 million of AUA as of September 30, 2023 and 2022, respectively, related to our model portfolios for which we provide investment advice on a fee basis without having investment management authority.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Roll-Forward of Assets Under Management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4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3"/>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i w:val="1"/>
                <w:iCs w:val="1"/>
                <w:color w:val="auto"/>
              </w:rPr>
              <w:t>(in millions)</w:t>
            </w: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2"/>
              </w:rPr>
              <w:t>Institutional</w:t>
            </w:r>
          </w:p>
        </w:tc>
        <w:tc>
          <w:tcPr>
            <w:tcW w:w="4480" w:type="dxa"/>
            <w:vAlign w:val="bottom"/>
            <w:tcBorders>
              <w:bottom w:val="single" w:sz="8" w:color="CCEEFF"/>
            </w:tcBorders>
            <w:gridSpan w:val="3"/>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Arial" w:cs="Arial" w:eastAsia="Arial" w:hAnsi="Arial"/>
                <w:sz w:val="16"/>
                <w:szCs w:val="16"/>
                <w:color w:val="auto"/>
              </w:rPr>
              <w:t>Beginning of period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6,969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6,968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7,037</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Inflows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3"/>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5"/>
          </w:tcPr>
          <w:p>
            <w:pPr>
              <w:ind w:left="340"/>
              <w:spacing w:after="0"/>
              <w:rPr>
                <w:sz w:val="20"/>
                <w:szCs w:val="20"/>
                <w:color w:val="auto"/>
              </w:rPr>
            </w:pPr>
            <w:r>
              <w:rPr>
                <w:rFonts w:ascii="Arial" w:cs="Arial" w:eastAsia="Arial" w:hAnsi="Arial"/>
                <w:sz w:val="16"/>
                <w:szCs w:val="16"/>
                <w:color w:val="auto"/>
              </w:rPr>
              <w:t>Outflows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r>
      <w:tr>
        <w:trPr>
          <w:trHeight w:val="212"/>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client flows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13"/>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5"/>
          </w:tcPr>
          <w:p>
            <w:pPr>
              <w:ind w:left="340"/>
              <w:spacing w:after="0"/>
              <w:rPr>
                <w:sz w:val="20"/>
                <w:szCs w:val="20"/>
                <w:color w:val="auto"/>
              </w:rPr>
            </w:pPr>
            <w:r>
              <w:rPr>
                <w:rFonts w:ascii="Arial" w:cs="Arial" w:eastAsia="Arial" w:hAnsi="Arial"/>
                <w:sz w:val="16"/>
                <w:szCs w:val="16"/>
                <w:color w:val="auto"/>
              </w:rPr>
              <w:t>Market appreciation (depreciation)</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w:t>
            </w:r>
          </w:p>
        </w:tc>
      </w:tr>
      <w:tr>
        <w:trPr>
          <w:trHeight w:val="210"/>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change</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r>
      <w:tr>
        <w:trPr>
          <w:trHeight w:val="213"/>
        </w:trPr>
        <w:tc>
          <w:tcPr>
            <w:tcW w:w="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Arial" w:cs="Arial" w:eastAsia="Arial" w:hAnsi="Arial"/>
                <w:sz w:val="16"/>
                <w:szCs w:val="16"/>
                <w:color w:val="auto"/>
              </w:rPr>
              <w:t>End of period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544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Wealth Management</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Beginning of period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4,420</w:t>
            </w:r>
          </w:p>
        </w:tc>
      </w:tr>
      <w:tr>
        <w:trPr>
          <w:trHeight w:val="213"/>
        </w:trPr>
        <w:tc>
          <w:tcPr>
            <w:tcW w:w="20" w:type="dxa"/>
            <w:vAlign w:val="bottom"/>
          </w:tcPr>
          <w:p>
            <w:pPr>
              <w:spacing w:after="0"/>
              <w:rPr>
                <w:sz w:val="18"/>
                <w:szCs w:val="18"/>
                <w:color w:val="auto"/>
              </w:rPr>
            </w:pPr>
          </w:p>
        </w:tc>
        <w:tc>
          <w:tcPr>
            <w:tcW w:w="5440" w:type="dxa"/>
            <w:vAlign w:val="bottom"/>
            <w:gridSpan w:val="5"/>
          </w:tcPr>
          <w:p>
            <w:pPr>
              <w:ind w:left="340"/>
              <w:spacing w:after="0"/>
              <w:rPr>
                <w:sz w:val="20"/>
                <w:szCs w:val="20"/>
                <w:color w:val="auto"/>
              </w:rPr>
            </w:pPr>
            <w:r>
              <w:rPr>
                <w:rFonts w:ascii="Arial" w:cs="Arial" w:eastAsia="Arial" w:hAnsi="Arial"/>
                <w:sz w:val="16"/>
                <w:szCs w:val="16"/>
                <w:color w:val="auto"/>
              </w:rPr>
              <w:t>Inflows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Outflows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r>
      <w:tr>
        <w:trPr>
          <w:trHeight w:val="207"/>
        </w:trPr>
        <w:tc>
          <w:tcPr>
            <w:tcW w:w="20" w:type="dxa"/>
            <w:vAlign w:val="bottom"/>
          </w:tcPr>
          <w:p>
            <w:pPr>
              <w:spacing w:after="0"/>
              <w:rPr>
                <w:sz w:val="17"/>
                <w:szCs w:val="17"/>
                <w:color w:val="auto"/>
              </w:rPr>
            </w:pPr>
          </w:p>
        </w:tc>
        <w:tc>
          <w:tcPr>
            <w:tcW w:w="5440" w:type="dxa"/>
            <w:vAlign w:val="bottom"/>
            <w:gridSpan w:val="5"/>
          </w:tcPr>
          <w:p>
            <w:pPr>
              <w:spacing w:after="0"/>
              <w:rPr>
                <w:sz w:val="20"/>
                <w:szCs w:val="20"/>
                <w:color w:val="auto"/>
              </w:rPr>
            </w:pPr>
            <w:r>
              <w:rPr>
                <w:rFonts w:ascii="Arial" w:cs="Arial" w:eastAsia="Arial" w:hAnsi="Arial"/>
                <w:sz w:val="16"/>
                <w:szCs w:val="16"/>
                <w:color w:val="auto"/>
              </w:rPr>
              <w:t>Net client flows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Market appreciation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w:t>
            </w:r>
          </w:p>
        </w:tc>
      </w:tr>
      <w:tr>
        <w:trPr>
          <w:trHeight w:val="207"/>
        </w:trPr>
        <w:tc>
          <w:tcPr>
            <w:tcW w:w="20" w:type="dxa"/>
            <w:vAlign w:val="bottom"/>
            <w:tcBorders>
              <w:bottom w:val="single" w:sz="8" w:color="CCEEFF"/>
            </w:tcBorders>
          </w:tcPr>
          <w:p>
            <w:pPr>
              <w:spacing w:after="0"/>
              <w:rPr>
                <w:sz w:val="17"/>
                <w:szCs w:val="17"/>
                <w:color w:val="auto"/>
              </w:rPr>
            </w:pPr>
          </w:p>
        </w:tc>
        <w:tc>
          <w:tcPr>
            <w:tcW w:w="544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Net change</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End of period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544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Mutual Funds</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Arial" w:cs="Arial" w:eastAsia="Arial" w:hAnsi="Arial"/>
                <w:sz w:val="16"/>
                <w:szCs w:val="16"/>
                <w:color w:val="auto"/>
              </w:rPr>
              <w:t>Beginning of period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4,169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4,145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3,046</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Inflows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r>
      <w:tr>
        <w:trPr>
          <w:trHeight w:val="213"/>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5"/>
          </w:tcPr>
          <w:p>
            <w:pPr>
              <w:ind w:left="340"/>
              <w:spacing w:after="0"/>
              <w:rPr>
                <w:sz w:val="20"/>
                <w:szCs w:val="20"/>
                <w:color w:val="auto"/>
              </w:rPr>
            </w:pPr>
            <w:r>
              <w:rPr>
                <w:rFonts w:ascii="Arial" w:cs="Arial" w:eastAsia="Arial" w:hAnsi="Arial"/>
                <w:sz w:val="16"/>
                <w:szCs w:val="16"/>
                <w:color w:val="auto"/>
              </w:rPr>
              <w:t>Outflows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r>
      <w:tr>
        <w:trPr>
          <w:trHeight w:val="213"/>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client flows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5"/>
          </w:tcPr>
          <w:p>
            <w:pPr>
              <w:ind w:left="340"/>
              <w:spacing w:after="0"/>
              <w:rPr>
                <w:sz w:val="20"/>
                <w:szCs w:val="20"/>
                <w:color w:val="auto"/>
              </w:rPr>
            </w:pPr>
            <w:r>
              <w:rPr>
                <w:rFonts w:ascii="Arial" w:cs="Arial" w:eastAsia="Arial" w:hAnsi="Arial"/>
                <w:sz w:val="16"/>
                <w:szCs w:val="16"/>
                <w:color w:val="auto"/>
              </w:rPr>
              <w:t>Market appreciation (depreciation)</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w:t>
            </w:r>
          </w:p>
        </w:tc>
      </w:tr>
      <w:tr>
        <w:trPr>
          <w:trHeight w:val="210"/>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change</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w:t>
            </w:r>
          </w:p>
        </w:tc>
      </w:tr>
      <w:tr>
        <w:trPr>
          <w:trHeight w:val="213"/>
        </w:trPr>
        <w:tc>
          <w:tcPr>
            <w:tcW w:w="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Arial" w:cs="Arial" w:eastAsia="Arial" w:hAnsi="Arial"/>
                <w:sz w:val="16"/>
                <w:szCs w:val="16"/>
                <w:color w:val="auto"/>
              </w:rPr>
              <w:t>End of period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544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Total AUM</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Beginning of period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14,503</w:t>
            </w:r>
          </w:p>
        </w:tc>
      </w:tr>
      <w:tr>
        <w:trPr>
          <w:trHeight w:val="213"/>
        </w:trPr>
        <w:tc>
          <w:tcPr>
            <w:tcW w:w="20" w:type="dxa"/>
            <w:vAlign w:val="bottom"/>
          </w:tcPr>
          <w:p>
            <w:pPr>
              <w:spacing w:after="0"/>
              <w:rPr>
                <w:sz w:val="18"/>
                <w:szCs w:val="18"/>
                <w:color w:val="auto"/>
              </w:rPr>
            </w:pPr>
          </w:p>
        </w:tc>
        <w:tc>
          <w:tcPr>
            <w:tcW w:w="5440" w:type="dxa"/>
            <w:vAlign w:val="bottom"/>
            <w:gridSpan w:val="5"/>
          </w:tcPr>
          <w:p>
            <w:pPr>
              <w:ind w:left="340"/>
              <w:spacing w:after="0"/>
              <w:rPr>
                <w:sz w:val="20"/>
                <w:szCs w:val="20"/>
                <w:color w:val="auto"/>
              </w:rPr>
            </w:pPr>
            <w:r>
              <w:rPr>
                <w:rFonts w:ascii="Arial" w:cs="Arial" w:eastAsia="Arial" w:hAnsi="Arial"/>
                <w:sz w:val="16"/>
                <w:szCs w:val="16"/>
                <w:color w:val="auto"/>
              </w:rPr>
              <w:t>Inflows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1,108</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Outflows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r>
      <w:tr>
        <w:trPr>
          <w:trHeight w:val="207"/>
        </w:trPr>
        <w:tc>
          <w:tcPr>
            <w:tcW w:w="20" w:type="dxa"/>
            <w:vAlign w:val="bottom"/>
          </w:tcPr>
          <w:p>
            <w:pPr>
              <w:spacing w:after="0"/>
              <w:rPr>
                <w:sz w:val="17"/>
                <w:szCs w:val="17"/>
                <w:color w:val="auto"/>
              </w:rPr>
            </w:pPr>
          </w:p>
        </w:tc>
        <w:tc>
          <w:tcPr>
            <w:tcW w:w="5440" w:type="dxa"/>
            <w:vAlign w:val="bottom"/>
            <w:gridSpan w:val="5"/>
          </w:tcPr>
          <w:p>
            <w:pPr>
              <w:spacing w:after="0"/>
              <w:rPr>
                <w:sz w:val="20"/>
                <w:szCs w:val="20"/>
                <w:color w:val="auto"/>
              </w:rPr>
            </w:pPr>
            <w:r>
              <w:rPr>
                <w:rFonts w:ascii="Arial" w:cs="Arial" w:eastAsia="Arial" w:hAnsi="Arial"/>
                <w:sz w:val="16"/>
                <w:szCs w:val="16"/>
                <w:color w:val="auto"/>
              </w:rPr>
              <w:t>Net client flows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(471)</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Market appreciation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(2,566)</w:t>
            </w:r>
          </w:p>
        </w:tc>
      </w:tr>
      <w:tr>
        <w:trPr>
          <w:trHeight w:val="206"/>
        </w:trPr>
        <w:tc>
          <w:tcPr>
            <w:tcW w:w="20" w:type="dxa"/>
            <w:vAlign w:val="bottom"/>
            <w:tcBorders>
              <w:bottom w:val="single" w:sz="8" w:color="CCEEFF"/>
            </w:tcBorders>
          </w:tcPr>
          <w:p>
            <w:pPr>
              <w:spacing w:after="0"/>
              <w:rPr>
                <w:sz w:val="17"/>
                <w:szCs w:val="17"/>
                <w:color w:val="auto"/>
              </w:rPr>
            </w:pPr>
          </w:p>
        </w:tc>
        <w:tc>
          <w:tcPr>
            <w:tcW w:w="544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Net change</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(3,037)</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End of period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780" w:firstLine="8"/>
        <w:spacing w:after="0" w:line="275" w:lineRule="auto"/>
        <w:tabs>
          <w:tab w:leader="none" w:pos="121"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Certain assets under management acquired from Salient were reclassified from Mutual Funds to Institutional as of December 31, 2022 to be consistent with the classification of existing assets.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compared to the three months ended September 30, 2022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change in AUM for the three months ended September 30, 2023 was due to market depreciation of $0.3 billion and net outflows of $0.3 billion.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outflows were primarily related to our SmallCap strategy.</w:t>
      </w:r>
    </w:p>
    <w:p>
      <w:pPr>
        <w:spacing w:after="0" w:line="10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$0.7 billion decrease in AUM for the three months ended September 30, 2022 was due to market depreciation of $0.4 billion and net outflows of $0.2 billion. Net outflows were primarily related to our LargeCap Value strategy.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the nine months ended September 30, 2022</w:t>
      </w:r>
    </w:p>
    <w:p>
      <w:pPr>
        <w:spacing w:after="0" w:line="117"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color w:val="auto"/>
        </w:rPr>
        <w:t>The $0.4 billion decrease in AUM for the nine months ended September 30, 2023 was due to net outflows of $0.9 billion offset by market appreciation of $0.5 billion. Net outflows were primarily related to our Income Opportunity and MLP strategies.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bookmarkStart w:id="23" w:name="page24"/>
    <w:bookmarkEnd w:id="23"/>
    <w:p>
      <w:pPr>
        <w:ind w:right="60" w:firstLine="486"/>
        <w:spacing w:after="0" w:line="277" w:lineRule="auto"/>
        <w:rPr>
          <w:sz w:val="20"/>
          <w:szCs w:val="20"/>
          <w:color w:val="auto"/>
        </w:rPr>
      </w:pPr>
      <w:r>
        <w:rPr>
          <w:rFonts w:ascii="Arial" w:cs="Arial" w:eastAsia="Arial" w:hAnsi="Arial"/>
          <w:sz w:val="18"/>
          <w:szCs w:val="18"/>
          <w:color w:val="auto"/>
        </w:rPr>
        <w:t>The $3.0 billion decrease in AUM for the nine months ended September 30, 2022 was due to market depreciation of $2.6 billion and net outflows of $0.5 billion. Net outflows were primarily related to our LargeCap Value and Income Opportunity strategies.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Roll-Forward of Assets Under Advisement</w:t>
      </w:r>
    </w:p>
    <w:p>
      <w:pPr>
        <w:spacing w:after="0" w:line="121"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AUA has historically been disclosed in total due to its relative insignificance to our business. However, following our 2022 acquisition of Salient's asset management business, AUA has become a more meaningful component of our business. Accordingly, we will present further AUA details going forward: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6"/>
                <w:szCs w:val="16"/>
                <w:color w:val="auto"/>
              </w:rPr>
            </w:pPr>
          </w:p>
        </w:tc>
        <w:tc>
          <w:tcPr>
            <w:tcW w:w="180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8"/>
                <w:szCs w:val="18"/>
                <w:color w:val="auto"/>
              </w:rPr>
            </w:pPr>
          </w:p>
        </w:tc>
        <w:tc>
          <w:tcPr>
            <w:tcW w:w="180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September 30,</w:t>
            </w:r>
          </w:p>
        </w:tc>
      </w:tr>
      <w:tr>
        <w:trPr>
          <w:trHeight w:val="212"/>
        </w:trPr>
        <w:tc>
          <w:tcPr>
            <w:tcW w:w="20" w:type="dxa"/>
            <w:vAlign w:val="bottom"/>
            <w:tcBorders>
              <w:bottom w:val="single" w:sz="8" w:color="CCEEFF"/>
            </w:tcBorders>
          </w:tcPr>
          <w:p>
            <w:pPr>
              <w:spacing w:after="0"/>
              <w:rPr>
                <w:sz w:val="18"/>
                <w:szCs w:val="18"/>
                <w:color w:val="auto"/>
              </w:rPr>
            </w:pPr>
          </w:p>
        </w:tc>
        <w:tc>
          <w:tcPr>
            <w:tcW w:w="71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2023</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2023</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87"/>
              </w:rPr>
              <w:t>Assets Under Advisement</w:t>
            </w:r>
          </w:p>
        </w:tc>
        <w:tc>
          <w:tcPr>
            <w:tcW w:w="5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Beginning of period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1,170</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1,255</w:t>
            </w:r>
          </w:p>
        </w:tc>
      </w:tr>
      <w:tr>
        <w:trPr>
          <w:trHeight w:val="21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Inflows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3"/>
        </w:trPr>
        <w:tc>
          <w:tcPr>
            <w:tcW w:w="20" w:type="dxa"/>
            <w:vAlign w:val="bottom"/>
            <w:tcBorders>
              <w:bottom w:val="single" w:sz="8" w:color="CCEEFF"/>
            </w:tcBorders>
          </w:tcPr>
          <w:p>
            <w:pPr>
              <w:spacing w:after="0"/>
              <w:rPr>
                <w:sz w:val="18"/>
                <w:szCs w:val="18"/>
                <w:color w:val="auto"/>
              </w:rPr>
            </w:pPr>
          </w:p>
        </w:tc>
        <w:tc>
          <w:tcPr>
            <w:tcW w:w="71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Outflows</w:t>
            </w: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r>
      <w:tr>
        <w:trPr>
          <w:trHeight w:val="213"/>
        </w:trPr>
        <w:tc>
          <w:tcPr>
            <w:tcW w:w="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client flows</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3"/>
        </w:trPr>
        <w:tc>
          <w:tcPr>
            <w:tcW w:w="20" w:type="dxa"/>
            <w:vAlign w:val="bottom"/>
            <w:tcBorders>
              <w:bottom w:val="single" w:sz="8" w:color="CCEEFF"/>
            </w:tcBorders>
          </w:tcPr>
          <w:p>
            <w:pPr>
              <w:spacing w:after="0"/>
              <w:rPr>
                <w:sz w:val="18"/>
                <w:szCs w:val="18"/>
                <w:color w:val="auto"/>
              </w:rPr>
            </w:pPr>
          </w:p>
        </w:tc>
        <w:tc>
          <w:tcPr>
            <w:tcW w:w="71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Market appreciation (depreciation)</w:t>
            </w: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change</w:t>
            </w:r>
          </w:p>
        </w:tc>
        <w:tc>
          <w:tcPr>
            <w:tcW w:w="18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3"/>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End of period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w:t>
            </w: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The following table (dollars in thousands) and discussion of our results of operations are based upon data derived from the Condensed Consolidated Statements of Comprehensive Income (Loss) contained in our Condensed Consolidated Financial Statements and should be read in conjunction with those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8"/>
        </w:trPr>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4"/>
          </w:tcPr>
          <w:p>
            <w:pPr>
              <w:jc w:val="right"/>
              <w:ind w:right="279"/>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4"/>
          </w:tcPr>
          <w:p>
            <w:pPr>
              <w:jc w:val="right"/>
              <w:ind w:right="319"/>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59"/>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780" w:type="dxa"/>
            <w:vAlign w:val="bottom"/>
          </w:tcPr>
          <w:p>
            <w:pPr>
              <w:jc w:val="right"/>
              <w:ind w:right="280"/>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1020" w:type="dxa"/>
            <w:vAlign w:val="bottom"/>
          </w:tcPr>
          <w:p>
            <w:pPr>
              <w:jc w:val="right"/>
              <w:ind w:right="180"/>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20"/>
              <w:spacing w:after="0"/>
              <w:rPr>
                <w:sz w:val="20"/>
                <w:szCs w:val="20"/>
                <w:color w:val="auto"/>
              </w:rPr>
            </w:pPr>
            <w:r>
              <w:rPr>
                <w:rFonts w:ascii="Arial" w:cs="Arial" w:eastAsia="Arial" w:hAnsi="Arial"/>
                <w:sz w:val="16"/>
                <w:szCs w:val="16"/>
                <w:color w:val="auto"/>
              </w:rPr>
              <w:t>Advisory fees: asset-based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16,902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10,474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61 %</w:t>
            </w:r>
          </w:p>
        </w:tc>
        <w:tc>
          <w:tcPr>
            <w:tcW w:w="2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50,734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33,244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Advisory fees: performance-based</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4520" w:type="dxa"/>
            <w:vAlign w:val="bottom"/>
          </w:tcPr>
          <w:p>
            <w:pPr>
              <w:ind w:left="220"/>
              <w:spacing w:after="0"/>
              <w:rPr>
                <w:sz w:val="20"/>
                <w:szCs w:val="20"/>
                <w:color w:val="auto"/>
              </w:rPr>
            </w:pPr>
            <w:r>
              <w:rPr>
                <w:rFonts w:ascii="Arial" w:cs="Arial" w:eastAsia="Arial" w:hAnsi="Arial"/>
                <w:sz w:val="16"/>
                <w:szCs w:val="16"/>
                <w:color w:val="auto"/>
              </w:rPr>
              <w:t>Trust fees: asset-based</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5,177</w:t>
            </w:r>
          </w:p>
        </w:tc>
        <w:tc>
          <w:tcPr>
            <w:tcW w:w="1120" w:type="dxa"/>
            <w:vAlign w:val="bottom"/>
            <w:gridSpan w:val="2"/>
          </w:tcPr>
          <w:p>
            <w:pPr>
              <w:jc w:val="right"/>
              <w:ind w:right="77"/>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16,257</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12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(65)</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7"/>
        </w:trPr>
        <w:tc>
          <w:tcPr>
            <w:tcW w:w="45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21,880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15,406</w:t>
            </w:r>
          </w:p>
        </w:tc>
        <w:tc>
          <w:tcPr>
            <w:tcW w:w="1120" w:type="dxa"/>
            <w:vAlign w:val="bottom"/>
            <w:gridSpan w:val="2"/>
          </w:tcPr>
          <w:p>
            <w:pPr>
              <w:jc w:val="right"/>
              <w:ind w:right="117"/>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66,552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48,225</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20"/>
              <w:spacing w:after="0"/>
              <w:rPr>
                <w:sz w:val="20"/>
                <w:szCs w:val="20"/>
                <w:color w:val="auto"/>
              </w:rPr>
            </w:pPr>
            <w:r>
              <w:rPr>
                <w:rFonts w:ascii="Arial" w:cs="Arial" w:eastAsia="Arial" w:hAnsi="Arial"/>
                <w:sz w:val="16"/>
                <w:szCs w:val="16"/>
                <w:color w:val="auto"/>
              </w:rPr>
              <w:t>Employee compensation and benefits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9,526</w:t>
            </w:r>
          </w:p>
        </w:tc>
        <w:tc>
          <w:tcPr>
            <w:tcW w:w="1120" w:type="dxa"/>
            <w:vAlign w:val="bottom"/>
            <w:gridSpan w:val="2"/>
          </w:tcPr>
          <w:p>
            <w:pPr>
              <w:jc w:val="right"/>
              <w:ind w:right="117"/>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40,551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28,993</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120" w:type="dxa"/>
            <w:vAlign w:val="bottom"/>
            <w:gridSpan w:val="2"/>
            <w:shd w:val="clear" w:color="auto" w:fill="CCEEFF"/>
          </w:tcPr>
          <w:p>
            <w:pPr>
              <w:jc w:val="right"/>
              <w:ind w:right="117"/>
              <w:spacing w:after="0"/>
              <w:rPr>
                <w:sz w:val="20"/>
                <w:szCs w:val="20"/>
                <w:color w:val="auto"/>
              </w:rPr>
            </w:pPr>
            <w:r>
              <w:rPr>
                <w:rFonts w:ascii="Arial" w:cs="Arial" w:eastAsia="Arial" w:hAnsi="Arial"/>
                <w:sz w:val="16"/>
                <w:szCs w:val="16"/>
                <w:color w:val="auto"/>
              </w:rPr>
              <w:t>102</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4520" w:type="dxa"/>
            <w:vAlign w:val="bottom"/>
          </w:tcPr>
          <w:p>
            <w:pPr>
              <w:ind w:left="220"/>
              <w:spacing w:after="0"/>
              <w:rPr>
                <w:sz w:val="20"/>
                <w:szCs w:val="20"/>
                <w:color w:val="auto"/>
              </w:rPr>
            </w:pPr>
            <w:r>
              <w:rPr>
                <w:rFonts w:ascii="Arial" w:cs="Arial" w:eastAsia="Arial" w:hAnsi="Arial"/>
                <w:sz w:val="16"/>
                <w:szCs w:val="16"/>
                <w:color w:val="auto"/>
              </w:rPr>
              <w:t>Westwood mutual funds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270</w:t>
            </w:r>
          </w:p>
        </w:tc>
        <w:tc>
          <w:tcPr>
            <w:tcW w:w="1120" w:type="dxa"/>
            <w:vAlign w:val="bottom"/>
            <w:gridSpan w:val="2"/>
          </w:tcPr>
          <w:p>
            <w:pPr>
              <w:jc w:val="right"/>
              <w:ind w:right="117"/>
              <w:spacing w:after="0"/>
              <w:rPr>
                <w:sz w:val="20"/>
                <w:szCs w:val="20"/>
                <w:color w:val="auto"/>
              </w:rPr>
            </w:pPr>
            <w:r>
              <w:rPr>
                <w:rFonts w:ascii="Arial" w:cs="Arial" w:eastAsia="Arial" w:hAnsi="Arial"/>
                <w:sz w:val="16"/>
                <w:szCs w:val="16"/>
                <w:color w:val="auto"/>
              </w:rPr>
              <w:t>223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1,311</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Information technology</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w:t>
            </w:r>
          </w:p>
        </w:tc>
        <w:tc>
          <w:tcPr>
            <w:tcW w:w="1120" w:type="dxa"/>
            <w:vAlign w:val="bottom"/>
            <w:gridSpan w:val="2"/>
            <w:shd w:val="clear" w:color="auto" w:fill="CCEEFF"/>
          </w:tcPr>
          <w:p>
            <w:pPr>
              <w:jc w:val="right"/>
              <w:ind w:right="117"/>
              <w:spacing w:after="0"/>
              <w:rPr>
                <w:sz w:val="20"/>
                <w:szCs w:val="20"/>
                <w:color w:val="auto"/>
              </w:rPr>
            </w:pPr>
            <w:r>
              <w:rPr>
                <w:rFonts w:ascii="Arial" w:cs="Arial" w:eastAsia="Arial" w:hAnsi="Arial"/>
                <w:sz w:val="16"/>
                <w:szCs w:val="16"/>
                <w:color w:val="auto"/>
              </w:rPr>
              <w:t>20</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4520" w:type="dxa"/>
            <w:vAlign w:val="bottom"/>
          </w:tcPr>
          <w:p>
            <w:pPr>
              <w:ind w:left="220"/>
              <w:spacing w:after="0"/>
              <w:rPr>
                <w:sz w:val="20"/>
                <w:szCs w:val="20"/>
                <w:color w:val="auto"/>
              </w:rPr>
            </w:pPr>
            <w:r>
              <w:rPr>
                <w:rFonts w:ascii="Arial" w:cs="Arial" w:eastAsia="Arial" w:hAnsi="Arial"/>
                <w:sz w:val="16"/>
                <w:szCs w:val="16"/>
                <w:color w:val="auto"/>
              </w:rPr>
              <w:t>Professional services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1,536</w:t>
            </w:r>
          </w:p>
        </w:tc>
        <w:tc>
          <w:tcPr>
            <w:tcW w:w="1120" w:type="dxa"/>
            <w:vAlign w:val="bottom"/>
            <w:gridSpan w:val="2"/>
          </w:tcPr>
          <w:p>
            <w:pPr>
              <w:jc w:val="right"/>
              <w:ind w:right="77"/>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3,888</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120" w:type="dxa"/>
            <w:vAlign w:val="bottom"/>
            <w:gridSpan w:val="2"/>
            <w:shd w:val="clear" w:color="auto" w:fill="CCEEFF"/>
          </w:tcPr>
          <w:p>
            <w:pPr>
              <w:jc w:val="right"/>
              <w:ind w:right="117"/>
              <w:spacing w:after="0"/>
              <w:rPr>
                <w:sz w:val="20"/>
                <w:szCs w:val="20"/>
                <w:color w:val="auto"/>
              </w:rPr>
            </w:pPr>
            <w:r>
              <w:rPr>
                <w:rFonts w:ascii="Arial" w:cs="Arial" w:eastAsia="Arial" w:hAnsi="Arial"/>
                <w:sz w:val="16"/>
                <w:szCs w:val="16"/>
                <w:color w:val="auto"/>
              </w:rPr>
              <w:t>51</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4520" w:type="dxa"/>
            <w:vAlign w:val="bottom"/>
          </w:tcPr>
          <w:p>
            <w:pPr>
              <w:ind w:left="220"/>
              <w:spacing w:after="0"/>
              <w:rPr>
                <w:sz w:val="20"/>
                <w:szCs w:val="20"/>
                <w:color w:val="auto"/>
              </w:rPr>
            </w:pPr>
            <w:r>
              <w:rPr>
                <w:rFonts w:ascii="Arial" w:cs="Arial" w:eastAsia="Arial" w:hAnsi="Arial"/>
                <w:sz w:val="16"/>
                <w:szCs w:val="16"/>
                <w:color w:val="auto"/>
                <w:w w:val="94"/>
              </w:rPr>
              <w:t>(Gain) loss from change in fair value of contingent consideration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ind w:left="740"/>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expenses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7"/>
        </w:trPr>
        <w:tc>
          <w:tcPr>
            <w:tcW w:w="45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expenses</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23,333</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16,488</w:t>
            </w:r>
          </w:p>
        </w:tc>
        <w:tc>
          <w:tcPr>
            <w:tcW w:w="1120" w:type="dxa"/>
            <w:vAlign w:val="bottom"/>
            <w:tcBorders>
              <w:bottom w:val="single" w:sz="8" w:color="CCEEFF"/>
            </w:tcBorders>
            <w:gridSpan w:val="2"/>
          </w:tcPr>
          <w:p>
            <w:pPr>
              <w:jc w:val="right"/>
              <w:ind w:right="117"/>
              <w:spacing w:after="0"/>
              <w:rPr>
                <w:sz w:val="20"/>
                <w:szCs w:val="20"/>
                <w:color w:val="auto"/>
              </w:rPr>
            </w:pPr>
            <w:r>
              <w:rPr>
                <w:rFonts w:ascii="Arial" w:cs="Arial" w:eastAsia="Arial" w:hAnsi="Arial"/>
                <w:sz w:val="16"/>
                <w:szCs w:val="16"/>
                <w:color w:val="auto"/>
              </w:rPr>
              <w:t>42</w:t>
            </w:r>
          </w:p>
        </w:tc>
        <w:tc>
          <w:tcPr>
            <w:tcW w:w="2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63,390</w:t>
            </w:r>
          </w:p>
        </w:tc>
        <w:tc>
          <w:tcPr>
            <w:tcW w:w="10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49,290</w:t>
            </w:r>
          </w:p>
        </w:tc>
        <w:tc>
          <w:tcPr>
            <w:tcW w:w="11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operating income (loss)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520" w:type="dxa"/>
            <w:vAlign w:val="bottom"/>
          </w:tcPr>
          <w:p>
            <w:pPr>
              <w:ind w:left="220"/>
              <w:spacing w:after="0" w:line="146" w:lineRule="exact"/>
              <w:rPr>
                <w:sz w:val="20"/>
                <w:szCs w:val="20"/>
                <w:color w:val="auto"/>
              </w:rPr>
            </w:pPr>
            <w:r>
              <w:rPr>
                <w:rFonts w:ascii="Arial" w:cs="Arial" w:eastAsia="Arial" w:hAnsi="Arial"/>
                <w:sz w:val="16"/>
                <w:szCs w:val="16"/>
                <w:color w:val="auto"/>
                <w:w w:val="96"/>
              </w:rPr>
              <w:t>Net change in unrealized appreciation (depreciation) on private</w:t>
            </w:r>
          </w:p>
        </w:tc>
        <w:tc>
          <w:tcPr>
            <w:tcW w:w="2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1120" w:type="dxa"/>
            <w:vAlign w:val="bottom"/>
            <w:gridSpan w:val="2"/>
            <w:vMerge w:val="restart"/>
          </w:tcPr>
          <w:p>
            <w:pPr>
              <w:jc w:val="right"/>
              <w:ind w:right="77"/>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(511)</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9"/>
        </w:trPr>
        <w:tc>
          <w:tcPr>
            <w:tcW w:w="4520" w:type="dxa"/>
            <w:vAlign w:val="bottom"/>
          </w:tcPr>
          <w:p>
            <w:pPr>
              <w:ind w:left="220"/>
              <w:spacing w:after="0"/>
              <w:rPr>
                <w:sz w:val="20"/>
                <w:szCs w:val="20"/>
                <w:color w:val="auto"/>
              </w:rPr>
            </w:pPr>
            <w:r>
              <w:rPr>
                <w:rFonts w:ascii="Arial" w:cs="Arial" w:eastAsia="Arial" w:hAnsi="Arial"/>
                <w:sz w:val="16"/>
                <w:szCs w:val="16"/>
                <w:color w:val="auto"/>
              </w:rPr>
              <w:t>investments</w:t>
            </w:r>
          </w:p>
        </w:tc>
        <w:tc>
          <w:tcPr>
            <w:tcW w:w="2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investment income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120" w:type="dxa"/>
            <w:vAlign w:val="bottom"/>
            <w:gridSpan w:val="2"/>
            <w:shd w:val="clear" w:color="auto" w:fill="CCEEFF"/>
          </w:tcPr>
          <w:p>
            <w:pPr>
              <w:jc w:val="right"/>
              <w:ind w:right="117"/>
              <w:spacing w:after="0"/>
              <w:rPr>
                <w:sz w:val="20"/>
                <w:szCs w:val="20"/>
                <w:color w:val="auto"/>
              </w:rPr>
            </w:pPr>
            <w:r>
              <w:rPr>
                <w:rFonts w:ascii="Arial" w:cs="Arial" w:eastAsia="Arial" w:hAnsi="Arial"/>
                <w:sz w:val="16"/>
                <w:szCs w:val="16"/>
                <w:color w:val="auto"/>
              </w:rPr>
              <w:t>138</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120" w:type="dxa"/>
            <w:vAlign w:val="bottom"/>
            <w:tcBorders>
              <w:bottom w:val="single" w:sz="8" w:color="CCEEFF"/>
            </w:tcBorders>
            <w:gridSpan w:val="2"/>
          </w:tcPr>
          <w:p>
            <w:pPr>
              <w:jc w:val="right"/>
              <w:ind w:right="117"/>
              <w:spacing w:after="0"/>
              <w:rPr>
                <w:sz w:val="20"/>
                <w:szCs w:val="20"/>
                <w:color w:val="auto"/>
              </w:rPr>
            </w:pPr>
            <w:r>
              <w:rPr>
                <w:rFonts w:ascii="Arial" w:cs="Arial" w:eastAsia="Arial" w:hAnsi="Arial"/>
                <w:sz w:val="16"/>
                <w:szCs w:val="16"/>
                <w:color w:val="auto"/>
              </w:rPr>
              <w:t>2456</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11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120" w:type="dxa"/>
            <w:vAlign w:val="bottom"/>
            <w:tcBorders>
              <w:bottom w:val="single" w:sz="8" w:color="CCEEFF"/>
            </w:tcBorders>
            <w:gridSpan w:val="2"/>
          </w:tcPr>
          <w:p>
            <w:pPr>
              <w:jc w:val="right"/>
              <w:ind w:right="77"/>
              <w:spacing w:after="0"/>
              <w:rPr>
                <w:sz w:val="20"/>
                <w:szCs w:val="20"/>
                <w:color w:val="auto"/>
              </w:rPr>
            </w:pPr>
            <w:r>
              <w:rPr>
                <w:rFonts w:ascii="Arial" w:cs="Arial" w:eastAsia="Arial" w:hAnsi="Arial"/>
                <w:sz w:val="16"/>
                <w:szCs w:val="16"/>
                <w:color w:val="auto"/>
              </w:rPr>
              <w:t>(305)</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11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3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w w:val="99"/>
              </w:rPr>
              <w:t>Less: Comprehensive income (loss) attributable to noncontrolling interest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gridSpan w:val="2"/>
            <w:vMerge w:val="restart"/>
          </w:tcPr>
          <w:p>
            <w:pPr>
              <w:ind w:left="740"/>
              <w:spacing w:after="0"/>
              <w:rPr>
                <w:sz w:val="20"/>
                <w:szCs w:val="20"/>
                <w:color w:val="auto"/>
              </w:rPr>
            </w:pPr>
            <w:r>
              <w:rPr>
                <w:rFonts w:ascii="Arial" w:cs="Arial" w:eastAsia="Arial" w:hAnsi="Arial"/>
                <w:sz w:val="16"/>
                <w:szCs w:val="16"/>
                <w:color w:val="auto"/>
              </w:rPr>
              <w:t>NM</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line="20" w:lineRule="exact"/>
              <w:rPr>
                <w:sz w:val="1"/>
                <w:szCs w:val="1"/>
                <w:color w:val="auto"/>
              </w:rPr>
            </w:pPr>
          </w:p>
        </w:tc>
      </w:tr>
      <w:tr>
        <w:trPr>
          <w:trHeight w:val="187"/>
        </w:trPr>
        <w:tc>
          <w:tcPr>
            <w:tcW w:w="45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52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b w:val="1"/>
                <w:bCs w:val="1"/>
                <w:color w:val="auto"/>
                <w:w w:val="92"/>
              </w:rPr>
              <w:t>Comprehensive income (loss) attributable to Westwood Holdings Group,</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3,356</w:t>
            </w:r>
          </w:p>
        </w:tc>
        <w:tc>
          <w:tcPr>
            <w:tcW w:w="1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26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6,944</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191"/>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CCEEFF"/>
            </w:tcBorders>
            <w:gridSpan w:val="2"/>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55" w:lineRule="exact"/>
        <w:rPr>
          <w:sz w:val="20"/>
          <w:szCs w:val="20"/>
          <w:color w:val="auto"/>
        </w:rPr>
      </w:pPr>
    </w:p>
    <w:p>
      <w:pPr>
        <w:ind w:left="180"/>
        <w:spacing w:after="0"/>
        <w:tabs>
          <w:tab w:leader="none" w:pos="520" w:val="left"/>
        </w:tabs>
        <w:rPr>
          <w:sz w:val="20"/>
          <w:szCs w:val="20"/>
          <w:color w:val="auto"/>
        </w:rPr>
      </w:pPr>
      <w:r>
        <w:rPr>
          <w:rFonts w:ascii="Arial" w:cs="Arial" w:eastAsia="Arial" w:hAnsi="Arial"/>
          <w:sz w:val="14"/>
          <w:szCs w:val="14"/>
          <w:color w:val="auto"/>
        </w:rPr>
        <w:t>NM</w:t>
      </w:r>
      <w:r>
        <w:rPr>
          <w:sz w:val="20"/>
          <w:szCs w:val="20"/>
          <w:color w:val="auto"/>
        </w:rPr>
        <w:tab/>
      </w:r>
      <w:r>
        <w:rPr>
          <w:rFonts w:ascii="Arial" w:cs="Arial" w:eastAsia="Arial" w:hAnsi="Arial"/>
          <w:sz w:val="13"/>
          <w:szCs w:val="13"/>
          <w:color w:val="auto"/>
        </w:rPr>
        <w:t>Not meaningful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compared to three months ended September 30, 2022</w:t>
      </w:r>
    </w:p>
    <w:p>
      <w:pPr>
        <w:spacing w:after="0" w:line="117"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Total revenues increased $6.5 million, or 42%, to $21.9 million for the three months ended September 30, 2023 compared with $15.4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2022. Asset-based advisory fees increased $6.4 million, or 61%, reflecting higher average AUM following our 2022 acquisition of Salient.</w:t>
      </w:r>
    </w:p>
    <w:p>
      <w:pPr>
        <w:spacing w:after="0" w:line="7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i w:val="1"/>
          <w:iCs w:val="1"/>
          <w:color w:val="auto"/>
        </w:rPr>
        <w:t xml:space="preserve">Employee compensation and benefits. </w:t>
      </w:r>
      <w:r>
        <w:rPr>
          <w:rFonts w:ascii="Arial" w:cs="Arial" w:eastAsia="Arial" w:hAnsi="Arial"/>
          <w:sz w:val="18"/>
          <w:szCs w:val="18"/>
          <w:color w:val="auto"/>
        </w:rPr>
        <w:t>Employee compensation and benefits increased $3.2 million to $12.7 million compared with $9.5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2022 due to additional headcount resulting from the Salient acquisition.</w:t>
      </w:r>
    </w:p>
    <w:p>
      <w:pPr>
        <w:spacing w:after="0" w:line="6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i w:val="1"/>
          <w:iCs w:val="1"/>
          <w:color w:val="auto"/>
        </w:rPr>
        <w:t xml:space="preserve">Westwood mutual funds. </w:t>
      </w:r>
      <w:r>
        <w:rPr>
          <w:rFonts w:ascii="Arial" w:cs="Arial" w:eastAsia="Arial" w:hAnsi="Arial"/>
          <w:sz w:val="18"/>
          <w:szCs w:val="18"/>
          <w:color w:val="auto"/>
        </w:rPr>
        <w:t>Westwood mutual funds expenses increased $0.6 million, or 223%, to $0.9 million compared with $0.3 million for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in mutual fund placement fees.</w:t>
      </w:r>
    </w:p>
    <w:p>
      <w:pPr>
        <w:spacing w:after="0" w:line="6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decreased $0.5 million, or 34%, to $1.0 million compared with $1.5 million for 2022 primarily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various legal and advisory costs.</w:t>
      </w:r>
    </w:p>
    <w:p>
      <w:pPr>
        <w:spacing w:after="0" w:line="62"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$1.1 million, or 51%, to $3.3 million compared with $2.2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2022 primarily due to increased intangible asset amortization following the Salient acquisition.</w:t>
      </w:r>
    </w:p>
    <w:p>
      <w:pPr>
        <w:spacing w:after="0" w:line="62"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i w:val="1"/>
          <w:iCs w:val="1"/>
          <w:color w:val="auto"/>
        </w:rPr>
        <w:t xml:space="preserve">(Gain) loss from change in fair value of contingent consideration. </w:t>
      </w:r>
      <w:r>
        <w:rPr>
          <w:rFonts w:ascii="Arial" w:cs="Arial" w:eastAsia="Arial" w:hAnsi="Arial"/>
          <w:sz w:val="18"/>
          <w:szCs w:val="18"/>
          <w:color w:val="auto"/>
        </w:rPr>
        <w:t>We recorded a loss of $2.5 million upon the remeasurement of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of the 2022 Salient acquisition.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sectPr>
      </w:pPr>
    </w:p>
    <w:bookmarkStart w:id="25" w:name="page26"/>
    <w:bookmarkEnd w:id="25"/>
    <w:p>
      <w:pPr>
        <w:ind w:left="500"/>
        <w:spacing w:after="0"/>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We recorded life insurance proceeds of $5.0 million in the third quarter of 2023.</w:t>
      </w:r>
    </w:p>
    <w:p>
      <w:pPr>
        <w:spacing w:after="0" w:line="117"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i w:val="1"/>
          <w:iCs w:val="1"/>
          <w:color w:val="auto"/>
        </w:rPr>
        <w:t>Income tax provision</w:t>
      </w:r>
      <w:r>
        <w:rPr>
          <w:rFonts w:ascii="Arial" w:cs="Arial" w:eastAsia="Arial" w:hAnsi="Arial"/>
          <w:sz w:val="18"/>
          <w:szCs w:val="18"/>
          <w:color w:val="auto"/>
        </w:rPr>
        <w:t>. Our effective tax rate differed from the 21% statutory rate for the third quarter of 2023 primarily due to permanent differences</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book and tax restricted stock expense based on a decrease in our stock price between the restricted stock grant and vesting dates, and the discrete impact of life insurance proceeds received in the third quarter of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nine months ended September 30, 2022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Total revenues increased $18.4 million, or 38%, to $66.6 million for the nine months ended September 30, 2023 compared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$48.2 million for the nine months ended September 30, 2022. Asset-based advisory fees increased $17.5 million, or 53%, reflecting higher average AUM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our 2022 acquisition of Salient. Trust fees decreased $1.2 million, or 7%, primarily related to lower average AUM.</w:t>
      </w:r>
    </w:p>
    <w:p>
      <w:pPr>
        <w:spacing w:after="0" w:line="10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i w:val="1"/>
          <w:iCs w:val="1"/>
          <w:color w:val="auto"/>
        </w:rPr>
        <w:t xml:space="preserve">Employee compensation and benefits. </w:t>
      </w:r>
      <w:r>
        <w:rPr>
          <w:rFonts w:ascii="Arial" w:cs="Arial" w:eastAsia="Arial" w:hAnsi="Arial"/>
          <w:sz w:val="18"/>
          <w:szCs w:val="18"/>
          <w:color w:val="auto"/>
        </w:rPr>
        <w:t>Employee compensation and benefits increased $11.6 million to $40.6 million compared with $29.0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2022 due to additional headcount resulting from the Salient acquisition.</w:t>
      </w:r>
    </w:p>
    <w:p>
      <w:pPr>
        <w:spacing w:after="0" w:line="62"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$0.9 million, or 64%, to $2.2 million compared with $1.3 million for 2022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product placement fees for certain Salient funds.</w:t>
      </w:r>
    </w:p>
    <w:p>
      <w:pPr>
        <w:spacing w:after="0" w:line="6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i w:val="1"/>
          <w:iCs w:val="1"/>
          <w:color w:val="auto"/>
        </w:rPr>
        <w:t xml:space="preserve">Westwood mutual funds. </w:t>
      </w:r>
      <w:r>
        <w:rPr>
          <w:rFonts w:ascii="Arial" w:cs="Arial" w:eastAsia="Arial" w:hAnsi="Arial"/>
          <w:sz w:val="18"/>
          <w:szCs w:val="18"/>
          <w:color w:val="auto"/>
        </w:rPr>
        <w:t>Westwood mutual funds expenses increased $1.1 million, or 79%, to $2.4 million compared with $1.3 million for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in mutual fund placement fees.</w:t>
      </w:r>
    </w:p>
    <w:p>
      <w:pPr>
        <w:spacing w:after="0" w:line="62"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i w:val="1"/>
          <w:iCs w:val="1"/>
          <w:color w:val="auto"/>
        </w:rPr>
        <w:t xml:space="preserve">Information Technology. </w:t>
      </w:r>
      <w:r>
        <w:rPr>
          <w:rFonts w:ascii="Arial" w:cs="Arial" w:eastAsia="Arial" w:hAnsi="Arial"/>
          <w:sz w:val="18"/>
          <w:szCs w:val="18"/>
          <w:color w:val="auto"/>
        </w:rPr>
        <w:t>Information technology expenses increased $1.7 million, or 30%, to $7.3 million compared with $5.6 million for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additional software licenses and investment research expenses.</w:t>
      </w:r>
    </w:p>
    <w:p>
      <w:pPr>
        <w:spacing w:after="0" w:line="62"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$3.0 million, or 46%, to $9.6 million compared with $6.6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2022 primarily due to increased intangible asset amortization following the Salient acquisition.</w:t>
      </w:r>
    </w:p>
    <w:p>
      <w:pPr>
        <w:spacing w:after="0" w:line="62"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i w:val="1"/>
          <w:iCs w:val="1"/>
          <w:color w:val="auto"/>
        </w:rPr>
        <w:t xml:space="preserve">(Gain) loss from change in fair value of contingent consideration. </w:t>
      </w:r>
      <w:r>
        <w:rPr>
          <w:rFonts w:ascii="Arial" w:cs="Arial" w:eastAsia="Arial" w:hAnsi="Arial"/>
          <w:sz w:val="18"/>
          <w:szCs w:val="18"/>
          <w:color w:val="auto"/>
        </w:rPr>
        <w:t>We recorded a gain of $2.7 million upon the remeasurement of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of the 2022 Salient acquisition.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We recorded life insurance proceeds of $5.0 million in 2023.</w:t>
      </w:r>
    </w:p>
    <w:p>
      <w:pPr>
        <w:spacing w:after="0" w:line="117"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i w:val="1"/>
          <w:iCs w:val="1"/>
          <w:color w:val="auto"/>
        </w:rPr>
        <w:t>Income tax provision</w:t>
      </w:r>
      <w:r>
        <w:rPr>
          <w:rFonts w:ascii="Arial" w:cs="Arial" w:eastAsia="Arial" w:hAnsi="Arial"/>
          <w:sz w:val="18"/>
          <w:szCs w:val="18"/>
          <w:color w:val="auto"/>
        </w:rPr>
        <w:t>. Our effective tax rate for the nine months ended September 30, 2023 differed from the 21% statutory rate for 2023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permanent differences between book and tax restricted stock expense based on a decrease in our stock price between the restricted stock grant and vesting dates and the discrete impact of life insurance proceeds received in 2023.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Financial Information</w:t>
      </w:r>
    </w:p>
    <w:p>
      <w:pPr>
        <w:spacing w:after="0" w:line="121"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As supplemental information, we are providing non-GAAP performance measures that we refer to as Economic Earnings and Economic EPS. We provide these measures in addition to, not as a substitute for, comprehensive income (loss) attributable to Westwood Holdings Group, Inc. and earnings (loss)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comprehensive income (loss) attributable to Westwood Holdings Group, Inc.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6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define Economic Earnings as comprehensive income (loss)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EPS represents Economic Earnings divided by diluted weighted average shares outstanding.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6" w:name="page27"/>
    <w:bookmarkEnd w:id="26"/>
    <w:p>
      <w:pPr>
        <w:ind w:right="80" w:firstLine="486"/>
        <w:spacing w:after="0" w:line="277" w:lineRule="auto"/>
        <w:rPr>
          <w:sz w:val="20"/>
          <w:szCs w:val="20"/>
          <w:color w:val="auto"/>
        </w:rPr>
      </w:pPr>
      <w:r>
        <w:rPr>
          <w:rFonts w:ascii="Arial" w:cs="Arial" w:eastAsia="Arial" w:hAnsi="Arial"/>
          <w:sz w:val="18"/>
          <w:szCs w:val="18"/>
          <w:color w:val="auto"/>
        </w:rPr>
        <w:t>The following tables provide a reconciliation of comprehensive income (loss) attributable to Westwood Holdings Group, Inc. to Economic Earnings and Economic Earnings by segment (in thousands, except share and per share amounts):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4"/>
          </w:tcPr>
          <w:p>
            <w:pPr>
              <w:jc w:val="right"/>
              <w:ind w:right="251"/>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260" w:type="dxa"/>
            <w:vAlign w:val="bottom"/>
            <w:gridSpan w:val="2"/>
          </w:tcPr>
          <w:p>
            <w:pPr>
              <w:ind w:left="30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840" w:type="dxa"/>
            <w:vAlign w:val="bottom"/>
          </w:tcPr>
          <w:p>
            <w:pPr>
              <w:jc w:val="right"/>
              <w:ind w:right="25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59"/>
        </w:trPr>
        <w:tc>
          <w:tcPr>
            <w:tcW w:w="446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b w:val="1"/>
                <w:bCs w:val="1"/>
                <w:color w:val="auto"/>
                <w:w w:val="92"/>
              </w:rPr>
              <w:t>Comprehensive income (loss) attributable to Westwood</w:t>
            </w: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Holdings Group, Inc.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2"/>
              </w:rPr>
              <w:t>(386)%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1,509</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4,410</w:t>
            </w:r>
          </w:p>
        </w:tc>
        <w:tc>
          <w:tcPr>
            <w:tcW w:w="1220" w:type="dxa"/>
            <w:vAlign w:val="bottom"/>
            <w:gridSpan w:val="2"/>
          </w:tcPr>
          <w:p>
            <w:pPr>
              <w:jc w:val="right"/>
              <w:ind w:right="13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amortization</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Tax benefit from goodwill amortization</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4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112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2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683 %</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ind w:left="680"/>
              <w:spacing w:after="0"/>
              <w:rPr>
                <w:sz w:val="20"/>
                <w:szCs w:val="20"/>
                <w:color w:val="auto"/>
              </w:rPr>
            </w:pPr>
            <w:r>
              <w:rPr>
                <w:rFonts w:ascii="Arial" w:cs="Arial" w:eastAsia="Arial" w:hAnsi="Arial"/>
                <w:sz w:val="18"/>
                <w:szCs w:val="18"/>
                <w:color w:val="auto"/>
                <w:w w:val="92"/>
              </w:rPr>
              <w:t>(373)%</w:t>
            </w: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0.41</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(0.15)</w:t>
            </w:r>
          </w:p>
        </w:tc>
        <w:tc>
          <w:tcPr>
            <w:tcW w:w="12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0.86</w:t>
            </w:r>
          </w:p>
        </w:tc>
        <w:tc>
          <w:tcPr>
            <w:tcW w:w="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(0.19)</w:t>
            </w: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Arial" w:cs="Arial" w:eastAsia="Arial" w:hAnsi="Arial"/>
                <w:sz w:val="18"/>
                <w:szCs w:val="18"/>
                <w:color w:val="auto"/>
              </w:rPr>
              <w:t>Intangible amortization</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0.15</w:t>
            </w:r>
          </w:p>
        </w:tc>
        <w:tc>
          <w:tcPr>
            <w:tcW w:w="1220" w:type="dxa"/>
            <w:vAlign w:val="bottom"/>
            <w:gridSpan w:val="2"/>
          </w:tcPr>
          <w:p>
            <w:pPr>
              <w:jc w:val="right"/>
              <w:ind w:right="139"/>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benefit from goodwill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Economic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670 %</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8,116,747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7,794,060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8,072,739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7,867,555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 by Segment: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Arial" w:cs="Arial" w:eastAsia="Arial" w:hAnsi="Arial"/>
                <w:sz w:val="18"/>
                <w:szCs w:val="18"/>
                <w:color w:val="auto"/>
              </w:rPr>
              <w:t>Advisory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3,590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14,441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11,428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Trust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Westwood Holdings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w:t>
            </w:r>
          </w:p>
        </w:tc>
        <w:tc>
          <w:tcPr>
            <w:tcW w:w="124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w:t>
            </w:r>
          </w:p>
        </w:tc>
        <w:tc>
          <w:tcPr>
            <w:tcW w:w="122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683 %</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fund our operations and cash requirements with cash generated from operating activities. We may also use cash from operations to pay dividends to our stockholders or for deferred contingent consideration payments. We had no debt as of September 30, 2023 and December 31, 2022.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68"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We had cash and short-term investments of $48.5 million and $39.2 million as of September 30, 2023 and December 31, 2022, respectively. At September 30, 2023 and December 31, 2022, working capital aggregated $49.7 million and $40.6 million, respectively.</w:t>
      </w:r>
    </w:p>
    <w:p>
      <w:pPr>
        <w:spacing w:after="0" w:line="62"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During the nine months ended September 30, 2023, cash flow used in operating activities was $5.7 million, which included net purchases of current investments of $15.6 million and a reduction in compensation and benefits payable of $1.4 million. During the nine months ended September 30, 2022, cash flow provided by operating activities was $15.3 million, which included net sales of $12.1 million of current investments and a $1.9 million change in accounts receivable, partially offset by a reduction in compensation and benefits payable of $3.6 million.</w:t>
      </w:r>
    </w:p>
    <w:p>
      <w:pPr>
        <w:spacing w:after="0" w:line="63" w:lineRule="exact"/>
        <w:rPr>
          <w:sz w:val="20"/>
          <w:szCs w:val="20"/>
          <w:color w:val="auto"/>
        </w:rPr>
      </w:pPr>
    </w:p>
    <w:p>
      <w:pPr>
        <w:jc w:val="both"/>
        <w:ind w:right="460" w:firstLine="486"/>
        <w:spacing w:after="0" w:line="263" w:lineRule="auto"/>
        <w:rPr>
          <w:sz w:val="20"/>
          <w:szCs w:val="20"/>
          <w:color w:val="auto"/>
        </w:rPr>
      </w:pPr>
      <w:r>
        <w:rPr>
          <w:rFonts w:ascii="Arial" w:cs="Arial" w:eastAsia="Arial" w:hAnsi="Arial"/>
          <w:sz w:val="18"/>
          <w:szCs w:val="18"/>
          <w:color w:val="auto"/>
        </w:rPr>
        <w:t>Cash flow provided by investing activities during the nine months ended September 30, 2023 was primarily due to the receipt of life insurance proceeds, offset by cash for the Broadmark Acquisition. Cash flow used in investing activities during the nine months ended September 30, 2022 was related to purchases of property and equipment.</w:t>
      </w:r>
    </w:p>
    <w:p>
      <w:pPr>
        <w:spacing w:after="0" w:line="76" w:lineRule="exact"/>
        <w:rPr>
          <w:sz w:val="20"/>
          <w:szCs w:val="20"/>
          <w:color w:val="auto"/>
        </w:rPr>
      </w:pPr>
    </w:p>
    <w:p>
      <w:pPr>
        <w:ind w:right="300" w:firstLine="486"/>
        <w:spacing w:after="0" w:line="286" w:lineRule="auto"/>
        <w:rPr>
          <w:sz w:val="20"/>
          <w:szCs w:val="20"/>
          <w:color w:val="auto"/>
        </w:rPr>
      </w:pPr>
      <w:r>
        <w:rPr>
          <w:rFonts w:ascii="Arial" w:cs="Arial" w:eastAsia="Arial" w:hAnsi="Arial"/>
          <w:sz w:val="17"/>
          <w:szCs w:val="17"/>
          <w:color w:val="auto"/>
        </w:rPr>
        <w:t>Cash flows used in financing activities of $5.1 million for the nine months ended September 30, 2023 reflected the payment of dividends and restricted stock returned for the payment of taxes. Cash flows used in financing activities of $7.9 million for the nine months ended September 30, 2022 reflected the payment of dividends, treasury stock repurchases and restricted stock returned for the payment of taxes.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7" w:name="page28"/>
    <w:bookmarkEnd w:id="27"/>
    <w:p>
      <w:pPr>
        <w:ind w:right="200" w:firstLine="486"/>
        <w:spacing w:after="0" w:line="263" w:lineRule="auto"/>
        <w:rPr>
          <w:sz w:val="20"/>
          <w:szCs w:val="20"/>
          <w:color w:val="auto"/>
        </w:rPr>
      </w:pPr>
      <w:r>
        <w:rPr>
          <w:rFonts w:ascii="Arial" w:cs="Arial" w:eastAsia="Arial" w:hAnsi="Arial"/>
          <w:sz w:val="18"/>
          <w:szCs w:val="18"/>
          <w:color w:val="auto"/>
        </w:rPr>
        <w:t>Westwood Trust is required to maintain cash and investments in an amount equal to the minimum restricted capital of $4.0 million, as required by the Texas Finance Code. Restricted capital is included in Investments in the accompanying Condensed Consolidated Balance Sheets. At September 30, 2023, Westwood Trust had approximately $11.9 million in excess of its minimum capital requirement.</w:t>
      </w:r>
    </w:p>
    <w:p>
      <w:pPr>
        <w:spacing w:after="0" w:line="76"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2022.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75"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As of September 30, 2023, there have been no material changes outside of the ordinary course of business to our contractual obligations since December 31, 2022. For information regarding our contractual obligations, refer to “Contractual Obligations” in Part II, Item 7. “Management's Discussion and Analysis of Financial Condition and Results of Operations” in our Annual Report on Form 10-K for the fiscal year ended December 31, 2022.</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and Significant Accounting Policies and Estimates</w:t>
      </w:r>
    </w:p>
    <w:p>
      <w:pPr>
        <w:spacing w:after="0" w:line="121"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There have been no significant changes in our critical or significant accounting policies and estimates since December 31, 2022.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Developments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Refer to Note 2 “Summary of Significant Accounting Policies” in our Condensed Consolidated Financial Statements included in Part I, Item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this Quarterly Report on Form 10-Q for a description of recently issued accounting guidance.</w:t>
      </w:r>
    </w:p>
    <w:p>
      <w:pPr>
        <w:spacing w:after="0" w:line="3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There have been no significant changes in our Quantitative and Qualitative Disclosures about Market Risk from those previously reported in our Annual Report on Form 10-K for the year ended December 31, 2022.</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5"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During the quarter ended September 30, 2023, there were no changes in our internal controls over financial reporting (as defined in Rule 13a-15(f) under the Exchange Act) that materially affected, or are reasonably likely to materially affect, our internal control over financial reporting. Due to our significant investments in cloud-based systems, the impact of our employees working remotely did not hinder the execution of our internal control processes and procedures.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09" w:right="5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2022 and the risks set forth below.</w:t>
      </w:r>
    </w:p>
    <w:p>
      <w:pPr>
        <w:spacing w:after="0" w:line="7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pacing w:after="0" w:line="7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Our share repurchase program has no expiration date and may be discontinued at any time by the Board of Directors. During the three months ended September 30, 2023, the Company did not repurchase any shares of our common stock.</w:t>
      </w:r>
    </w:p>
    <w:p>
      <w:pPr>
        <w:spacing w:after="0" w:line="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During the quarter ended September 30, 2023,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640" w:type="dxa"/>
            <w:vAlign w:val="bottom"/>
            <w:gridSpan w:val="7"/>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760" w:type="dxa"/>
            <w:vAlign w:val="bottom"/>
          </w:tcPr>
          <w:p>
            <w:pPr>
              <w:ind w:left="2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66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Chief Executive Officer Pursuant to Securities Exchange Act Rule 13a-14(a)</w:t>
            </w:r>
          </w:p>
        </w:tc>
        <w:tc>
          <w:tcPr>
            <w:tcW w:w="1480" w:type="dxa"/>
            <w:vAlign w:val="bottom"/>
            <w:gridSpan w:val="3"/>
          </w:tcPr>
          <w:p>
            <w:pPr>
              <w:spacing w:after="0"/>
              <w:rPr>
                <w:sz w:val="24"/>
                <w:szCs w:val="24"/>
                <w:color w:val="auto"/>
              </w:rPr>
            </w:pPr>
          </w:p>
        </w:tc>
      </w:tr>
      <w:tr>
        <w:trPr>
          <w:trHeight w:val="426"/>
        </w:trPr>
        <w:tc>
          <w:tcPr>
            <w:tcW w:w="760" w:type="dxa"/>
            <w:vAlign w:val="bottom"/>
          </w:tcPr>
          <w:p>
            <w:pPr>
              <w:ind w:left="2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Arial" w:cs="Arial" w:eastAsia="Arial" w:hAnsi="Arial"/>
                <w:sz w:val="18"/>
                <w:szCs w:val="18"/>
                <w:color w:val="0000FF"/>
              </w:rPr>
              <w:t>Certification of Chief Financial Officer Pursuant to Securities Exchange Act Rule 13a-14(a)</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760" w:type="dxa"/>
            <w:vAlign w:val="bottom"/>
          </w:tcPr>
          <w:p>
            <w:pPr>
              <w:ind w:left="20"/>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 as Adopted Pursuant to Section 906</w:t>
            </w:r>
          </w:p>
        </w:tc>
      </w:tr>
      <w:tr>
        <w:trPr>
          <w:trHeight w:val="156"/>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0"/>
              </w:rPr>
              <w:t>of the Sarbanes-Oxley Act of 2002</w:t>
            </w:r>
          </w:p>
        </w:tc>
        <w:tc>
          <w:tcPr>
            <w:tcW w:w="56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439"/>
        </w:trPr>
        <w:tc>
          <w:tcPr>
            <w:tcW w:w="760" w:type="dxa"/>
            <w:vAlign w:val="bottom"/>
          </w:tcPr>
          <w:p>
            <w:pPr>
              <w:ind w:left="20"/>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906</w:t>
            </w:r>
          </w:p>
        </w:tc>
      </w:tr>
      <w:tr>
        <w:trPr>
          <w:trHeight w:val="156"/>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0"/>
              </w:rPr>
              <w:t>of the Sarbanes-Oxley Act of 2002</w:t>
            </w:r>
          </w:p>
        </w:tc>
        <w:tc>
          <w:tcPr>
            <w:tcW w:w="5580" w:type="dxa"/>
            <w:vAlign w:val="bottom"/>
            <w:tcBorders>
              <w:top w:val="single" w:sz="8" w:color="0000FF"/>
            </w:tcBorders>
            <w:gridSpan w:val="3"/>
          </w:tcPr>
          <w:p>
            <w:pPr>
              <w:spacing w:after="0"/>
              <w:rPr>
                <w:sz w:val="13"/>
                <w:szCs w:val="13"/>
                <w:color w:val="auto"/>
              </w:rPr>
            </w:pPr>
          </w:p>
        </w:tc>
        <w:tc>
          <w:tcPr>
            <w:tcW w:w="60" w:type="dxa"/>
            <w:vAlign w:val="bottom"/>
            <w:gridSpan w:val="2"/>
          </w:tcPr>
          <w:p>
            <w:pPr>
              <w:spacing w:after="0"/>
              <w:rPr>
                <w:sz w:val="13"/>
                <w:szCs w:val="13"/>
                <w:color w:val="auto"/>
              </w:rPr>
            </w:pPr>
          </w:p>
        </w:tc>
      </w:tr>
      <w:tr>
        <w:trPr>
          <w:trHeight w:val="425"/>
        </w:trPr>
        <w:tc>
          <w:tcPr>
            <w:tcW w:w="760" w:type="dxa"/>
            <w:vAlign w:val="bottom"/>
          </w:tcPr>
          <w:p>
            <w:pPr>
              <w:ind w:left="2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Arial" w:cs="Arial" w:eastAsia="Arial" w:hAnsi="Arial"/>
                <w:sz w:val="18"/>
                <w:szCs w:val="18"/>
                <w:color w:val="auto"/>
                <w:w w:val="94"/>
              </w:rPr>
              <w:t>The following financial information from Westwood Holdings Group, Inc.'s Quarterly Report on Form 10-Q for</w:t>
            </w:r>
          </w:p>
        </w:tc>
      </w:tr>
      <w:tr>
        <w:trPr>
          <w:trHeight w:val="188"/>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160" w:type="dxa"/>
            <w:vAlign w:val="bottom"/>
            <w:gridSpan w:val="6"/>
          </w:tcPr>
          <w:p>
            <w:pPr>
              <w:spacing w:after="0" w:line="189" w:lineRule="exact"/>
              <w:rPr>
                <w:sz w:val="20"/>
                <w:szCs w:val="20"/>
                <w:color w:val="auto"/>
              </w:rPr>
            </w:pPr>
            <w:r>
              <w:rPr>
                <w:rFonts w:ascii="Arial" w:cs="Arial" w:eastAsia="Arial" w:hAnsi="Arial"/>
                <w:sz w:val="18"/>
                <w:szCs w:val="18"/>
                <w:color w:val="auto"/>
                <w:w w:val="91"/>
              </w:rPr>
              <w:t>the period ended September 30, 2023, formatted in Inline eXtensible Business Reporting Language (iXBRL): (i)</w:t>
            </w:r>
          </w:p>
        </w:tc>
      </w:tr>
      <w:tr>
        <w:trPr>
          <w:trHeight w:val="176"/>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60" w:type="dxa"/>
            <w:vAlign w:val="bottom"/>
            <w:gridSpan w:val="6"/>
          </w:tcPr>
          <w:p>
            <w:pPr>
              <w:spacing w:after="0" w:line="176" w:lineRule="exact"/>
              <w:rPr>
                <w:sz w:val="20"/>
                <w:szCs w:val="20"/>
                <w:color w:val="auto"/>
              </w:rPr>
            </w:pPr>
            <w:r>
              <w:rPr>
                <w:rFonts w:ascii="Arial" w:cs="Arial" w:eastAsia="Arial" w:hAnsi="Arial"/>
                <w:sz w:val="18"/>
                <w:szCs w:val="18"/>
                <w:color w:val="auto"/>
                <w:w w:val="93"/>
              </w:rPr>
              <w:t>Condensed Consolidated Balance Sheets as of September 30, 2023 and December 31, 2022; (ii) Condensed</w:t>
            </w:r>
          </w:p>
        </w:tc>
      </w:tr>
      <w:tr>
        <w:trPr>
          <w:trHeight w:val="175"/>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60" w:type="dxa"/>
            <w:vAlign w:val="bottom"/>
            <w:gridSpan w:val="6"/>
          </w:tcPr>
          <w:p>
            <w:pPr>
              <w:spacing w:after="0" w:line="176" w:lineRule="exact"/>
              <w:rPr>
                <w:sz w:val="20"/>
                <w:szCs w:val="20"/>
                <w:color w:val="auto"/>
              </w:rPr>
            </w:pPr>
            <w:r>
              <w:rPr>
                <w:rFonts w:ascii="Arial" w:cs="Arial" w:eastAsia="Arial" w:hAnsi="Arial"/>
                <w:sz w:val="18"/>
                <w:szCs w:val="18"/>
                <w:color w:val="auto"/>
                <w:w w:val="91"/>
              </w:rPr>
              <w:t>Consolidated Statements of Comprehensive Income (Loss) for the three and nine months ended September 30,</w:t>
            </w:r>
          </w:p>
        </w:tc>
      </w:tr>
      <w:tr>
        <w:trPr>
          <w:trHeight w:val="188"/>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160" w:type="dxa"/>
            <w:vAlign w:val="bottom"/>
            <w:gridSpan w:val="6"/>
          </w:tcPr>
          <w:p>
            <w:pPr>
              <w:spacing w:after="0" w:line="189" w:lineRule="exact"/>
              <w:rPr>
                <w:sz w:val="20"/>
                <w:szCs w:val="20"/>
                <w:color w:val="auto"/>
              </w:rPr>
            </w:pPr>
            <w:r>
              <w:rPr>
                <w:rFonts w:ascii="Arial" w:cs="Arial" w:eastAsia="Arial" w:hAnsi="Arial"/>
                <w:sz w:val="18"/>
                <w:szCs w:val="18"/>
                <w:color w:val="auto"/>
                <w:w w:val="91"/>
              </w:rPr>
              <w:t>2023 and 2022; (iii) Condensed Consolidated Statements of Stockholders' Equity; (iv) Condensed Consolidated</w:t>
            </w:r>
          </w:p>
        </w:tc>
      </w:tr>
      <w:tr>
        <w:trPr>
          <w:trHeight w:val="176"/>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60" w:type="dxa"/>
            <w:vAlign w:val="bottom"/>
            <w:gridSpan w:val="6"/>
          </w:tcPr>
          <w:p>
            <w:pPr>
              <w:spacing w:after="0" w:line="176" w:lineRule="exact"/>
              <w:rPr>
                <w:sz w:val="20"/>
                <w:szCs w:val="20"/>
                <w:color w:val="auto"/>
              </w:rPr>
            </w:pPr>
            <w:r>
              <w:rPr>
                <w:rFonts w:ascii="Arial" w:cs="Arial" w:eastAsia="Arial" w:hAnsi="Arial"/>
                <w:sz w:val="18"/>
                <w:szCs w:val="18"/>
                <w:color w:val="auto"/>
                <w:w w:val="96"/>
              </w:rPr>
              <w:t>Statements of Cash Flows for the nine months ended September 30, 2023 and 2022; and (v) Notes to the</w:t>
            </w:r>
          </w:p>
        </w:tc>
      </w:tr>
      <w:tr>
        <w:trPr>
          <w:trHeight w:val="230"/>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160" w:type="dxa"/>
            <w:vAlign w:val="bottom"/>
            <w:gridSpan w:val="6"/>
          </w:tcPr>
          <w:p>
            <w:pPr>
              <w:spacing w:after="0"/>
              <w:rPr>
                <w:sz w:val="20"/>
                <w:szCs w:val="20"/>
                <w:color w:val="auto"/>
              </w:rPr>
            </w:pPr>
            <w:r>
              <w:rPr>
                <w:rFonts w:ascii="Arial" w:cs="Arial" w:eastAsia="Arial" w:hAnsi="Arial"/>
                <w:sz w:val="18"/>
                <w:szCs w:val="18"/>
                <w:color w:val="auto"/>
              </w:rPr>
              <w:t>Condensed Consolidated Financial Statements.</w:t>
            </w:r>
          </w:p>
        </w:tc>
      </w:tr>
      <w:tr>
        <w:trPr>
          <w:trHeight w:val="445"/>
        </w:trPr>
        <w:tc>
          <w:tcPr>
            <w:tcW w:w="760" w:type="dxa"/>
            <w:vAlign w:val="bottom"/>
          </w:tcPr>
          <w:p>
            <w:pPr>
              <w:ind w:left="2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iXBRL and contained in Exhibit 101)</w:t>
            </w:r>
          </w:p>
        </w:tc>
      </w:tr>
    </w:tbl>
    <w:p>
      <w:pPr>
        <w:spacing w:after="0" w:line="296"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1" w:name="page32"/>
    <w:bookmarkEnd w:id="31"/>
    <w:p>
      <w:pPr>
        <w:jc w:val="center"/>
        <w:ind w:right="-4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Dated:   October 31, 2023</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WESTWOOD HOLDINGS GROUP, INC.</w:t>
            </w:r>
          </w:p>
        </w:tc>
      </w:tr>
      <w:tr>
        <w:trPr>
          <w:trHeight w:val="486"/>
        </w:trPr>
        <w:tc>
          <w:tcPr>
            <w:tcW w:w="3460" w:type="dxa"/>
            <w:vAlign w:val="bottom"/>
          </w:tcPr>
          <w:p>
            <w:pPr>
              <w:spacing w:after="0"/>
              <w:rPr>
                <w:sz w:val="24"/>
                <w:szCs w:val="24"/>
                <w:color w:val="auto"/>
              </w:rPr>
            </w:pPr>
          </w:p>
        </w:tc>
        <w:tc>
          <w:tcPr>
            <w:tcW w:w="2120" w:type="dxa"/>
            <w:vAlign w:val="bottom"/>
          </w:tcPr>
          <w:p>
            <w:pPr>
              <w:ind w:left="150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O. Casey</w:t>
            </w:r>
          </w:p>
        </w:tc>
      </w:tr>
      <w:tr>
        <w:trPr>
          <w:trHeight w:val="222"/>
        </w:trPr>
        <w:tc>
          <w:tcPr>
            <w:tcW w:w="34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30"/>
        </w:trPr>
        <w:tc>
          <w:tcPr>
            <w:tcW w:w="3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45"/>
        </w:trPr>
        <w:tc>
          <w:tcPr>
            <w:tcW w:w="3460" w:type="dxa"/>
            <w:vAlign w:val="bottom"/>
          </w:tcPr>
          <w:p>
            <w:pPr>
              <w:spacing w:after="0"/>
              <w:rPr>
                <w:sz w:val="24"/>
                <w:szCs w:val="24"/>
                <w:color w:val="auto"/>
              </w:rPr>
            </w:pPr>
          </w:p>
        </w:tc>
        <w:tc>
          <w:tcPr>
            <w:tcW w:w="2120" w:type="dxa"/>
            <w:vAlign w:val="bottom"/>
          </w:tcPr>
          <w:p>
            <w:pPr>
              <w:ind w:left="150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Murray Forbes III</w:t>
            </w:r>
          </w:p>
        </w:tc>
      </w:tr>
      <w:tr>
        <w:trPr>
          <w:trHeight w:val="222"/>
        </w:trPr>
        <w:tc>
          <w:tcPr>
            <w:tcW w:w="34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Murray Forbes III</w:t>
            </w:r>
          </w:p>
        </w:tc>
      </w:tr>
      <w:tr>
        <w:trPr>
          <w:trHeight w:val="230"/>
        </w:trPr>
        <w:tc>
          <w:tcPr>
            <w:tcW w:w="3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60"/>
          </w:cols>
          <w:pgMar w:left="320" w:top="1097" w:right="819" w:bottom="1440" w:gutter="0" w:footer="0" w:header="0"/>
        </w:sectPr>
      </w:pPr>
    </w:p>
    <w:bookmarkStart w:id="32" w:name="page33"/>
    <w:bookmarkEnd w:id="32"/>
    <w:p>
      <w:pPr>
        <w:spacing w:after="0" w:line="3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31.1</w:t>
      </w:r>
    </w:p>
    <w:p>
      <w:pPr>
        <w:spacing w:after="0" w:line="59"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73"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RULES 13a-14(a)</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 Brian O. Casey,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113" w:lineRule="exact"/>
        <w:rPr>
          <w:rFonts w:ascii="Arial" w:cs="Arial" w:eastAsia="Arial" w:hAnsi="Arial"/>
          <w:sz w:val="16"/>
          <w:szCs w:val="16"/>
          <w:color w:val="auto"/>
        </w:rPr>
      </w:pPr>
    </w:p>
    <w:p>
      <w:pPr>
        <w:ind w:left="660" w:hanging="328"/>
        <w:spacing w:after="0" w:line="328" w:lineRule="auto"/>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Arial" w:cs="Arial" w:eastAsia="Arial" w:hAnsi="Arial"/>
          <w:sz w:val="15"/>
          <w:szCs w:val="15"/>
          <w:color w:val="auto"/>
        </w:rPr>
      </w:pPr>
    </w:p>
    <w:p>
      <w:pPr>
        <w:ind w:left="660" w:right="520" w:hanging="328"/>
        <w:spacing w:after="0" w:line="293"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6"/>
          <w:szCs w:val="16"/>
          <w:color w:val="auto"/>
        </w:rPr>
      </w:pPr>
    </w:p>
    <w:p>
      <w:pPr>
        <w:ind w:left="660" w:right="200" w:hanging="328"/>
        <w:spacing w:after="0" w:line="269"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6"/>
          <w:szCs w:val="16"/>
          <w:color w:val="auto"/>
        </w:rPr>
      </w:pPr>
    </w:p>
    <w:p>
      <w:pPr>
        <w:ind w:left="1300" w:right="300" w:hanging="320"/>
        <w:spacing w:after="0" w:line="269" w:lineRule="auto"/>
        <w:tabs>
          <w:tab w:leader="none" w:pos="1291"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6"/>
          <w:szCs w:val="16"/>
          <w:color w:val="auto"/>
        </w:rPr>
      </w:pPr>
    </w:p>
    <w:p>
      <w:pPr>
        <w:ind w:left="1300" w:right="100" w:hanging="320"/>
        <w:spacing w:after="0" w:line="269"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6"/>
          <w:szCs w:val="16"/>
          <w:color w:val="auto"/>
        </w:rPr>
      </w:pPr>
    </w:p>
    <w:p>
      <w:pPr>
        <w:ind w:left="1300" w:right="160" w:hanging="320"/>
        <w:spacing w:after="0" w:line="293" w:lineRule="auto"/>
        <w:tabs>
          <w:tab w:leader="none" w:pos="129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6"/>
          <w:szCs w:val="16"/>
          <w:color w:val="auto"/>
        </w:rPr>
      </w:pPr>
    </w:p>
    <w:p>
      <w:pPr>
        <w:ind w:left="1300" w:right="180" w:hanging="320"/>
        <w:spacing w:after="0" w:line="269"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6"/>
          <w:szCs w:val="16"/>
          <w:color w:val="auto"/>
        </w:rPr>
      </w:pPr>
    </w:p>
    <w:p>
      <w:pPr>
        <w:ind w:left="660" w:right="120" w:hanging="328"/>
        <w:spacing w:after="0" w:line="293"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6"/>
          <w:szCs w:val="16"/>
          <w:color w:val="auto"/>
        </w:rPr>
      </w:pPr>
    </w:p>
    <w:p>
      <w:pPr>
        <w:ind w:left="1300" w:right="120" w:hanging="320"/>
        <w:spacing w:after="0" w:line="293" w:lineRule="auto"/>
        <w:tabs>
          <w:tab w:leader="none" w:pos="125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6"/>
          <w:szCs w:val="16"/>
          <w:color w:val="auto"/>
        </w:rPr>
      </w:pPr>
    </w:p>
    <w:p>
      <w:pPr>
        <w:ind w:left="1300" w:right="340" w:hanging="320"/>
        <w:spacing w:after="0" w:line="275" w:lineRule="auto"/>
        <w:tabs>
          <w:tab w:leader="none" w:pos="1259"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October 31, 2023</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429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Brian O. Casey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1440" w:right="339" w:bottom="1440" w:gutter="0" w:footer="0" w:header="0"/>
        </w:sectPr>
      </w:pPr>
    </w:p>
    <w:bookmarkStart w:id="33" w:name="page34"/>
    <w:bookmarkEnd w:id="33"/>
    <w:p>
      <w:pPr>
        <w:spacing w:after="0" w:line="3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31.2</w:t>
      </w:r>
    </w:p>
    <w:p>
      <w:pPr>
        <w:spacing w:after="0" w:line="59"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73"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RULES 13a-14(a)</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 Murray Forbes III,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113" w:lineRule="exact"/>
        <w:rPr>
          <w:rFonts w:ascii="Arial" w:cs="Arial" w:eastAsia="Arial" w:hAnsi="Arial"/>
          <w:sz w:val="16"/>
          <w:szCs w:val="16"/>
          <w:color w:val="auto"/>
        </w:rPr>
      </w:pPr>
    </w:p>
    <w:p>
      <w:pPr>
        <w:ind w:left="660" w:hanging="328"/>
        <w:spacing w:after="0" w:line="328" w:lineRule="auto"/>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Arial" w:cs="Arial" w:eastAsia="Arial" w:hAnsi="Arial"/>
          <w:sz w:val="15"/>
          <w:szCs w:val="15"/>
          <w:color w:val="auto"/>
        </w:rPr>
      </w:pPr>
    </w:p>
    <w:p>
      <w:pPr>
        <w:ind w:left="660" w:right="520" w:hanging="328"/>
        <w:spacing w:after="0" w:line="29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6"/>
          <w:szCs w:val="16"/>
          <w:color w:val="auto"/>
        </w:rPr>
      </w:pPr>
    </w:p>
    <w:p>
      <w:pPr>
        <w:ind w:left="660" w:right="200" w:hanging="328"/>
        <w:spacing w:after="0" w:line="269"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6"/>
          <w:szCs w:val="16"/>
          <w:color w:val="auto"/>
        </w:rPr>
      </w:pPr>
    </w:p>
    <w:p>
      <w:pPr>
        <w:ind w:left="1300" w:right="300" w:hanging="320"/>
        <w:spacing w:after="0" w:line="269" w:lineRule="auto"/>
        <w:tabs>
          <w:tab w:leader="none" w:pos="1291"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6"/>
          <w:szCs w:val="16"/>
          <w:color w:val="auto"/>
        </w:rPr>
      </w:pPr>
    </w:p>
    <w:p>
      <w:pPr>
        <w:ind w:left="1300" w:right="100" w:hanging="320"/>
        <w:spacing w:after="0" w:line="269"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6"/>
          <w:szCs w:val="16"/>
          <w:color w:val="auto"/>
        </w:rPr>
      </w:pPr>
    </w:p>
    <w:p>
      <w:pPr>
        <w:ind w:left="1300" w:right="160" w:hanging="320"/>
        <w:spacing w:after="0" w:line="293" w:lineRule="auto"/>
        <w:tabs>
          <w:tab w:leader="none" w:pos="129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6"/>
          <w:szCs w:val="16"/>
          <w:color w:val="auto"/>
        </w:rPr>
      </w:pPr>
    </w:p>
    <w:p>
      <w:pPr>
        <w:ind w:left="1300" w:right="180" w:hanging="320"/>
        <w:spacing w:after="0" w:line="269"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6"/>
          <w:szCs w:val="16"/>
          <w:color w:val="auto"/>
        </w:rPr>
      </w:pPr>
    </w:p>
    <w:p>
      <w:pPr>
        <w:ind w:left="660" w:right="160" w:hanging="328"/>
        <w:spacing w:after="0" w:line="293" w:lineRule="auto"/>
        <w:tabs>
          <w:tab w:leader="none" w:pos="61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6"/>
          <w:szCs w:val="16"/>
          <w:color w:val="auto"/>
        </w:rPr>
      </w:pPr>
    </w:p>
    <w:p>
      <w:pPr>
        <w:ind w:left="1300" w:right="120" w:hanging="320"/>
        <w:spacing w:after="0" w:line="293" w:lineRule="auto"/>
        <w:tabs>
          <w:tab w:leader="none" w:pos="125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6"/>
          <w:szCs w:val="16"/>
          <w:color w:val="auto"/>
        </w:rPr>
      </w:pPr>
    </w:p>
    <w:p>
      <w:pPr>
        <w:ind w:left="1300" w:right="340" w:hanging="320"/>
        <w:spacing w:after="0" w:line="275" w:lineRule="auto"/>
        <w:tabs>
          <w:tab w:leader="none" w:pos="1259"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October 31, 2023</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429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Murray Forbes III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 and Treasurer</w:t>
      </w:r>
    </w:p>
    <w:p>
      <w:pPr>
        <w:sectPr>
          <w:pgSz w:w="11900" w:h="16838" w:orient="portrait"/>
          <w:cols w:equalWidth="0" w:num="1">
            <w:col w:w="11240"/>
          </w:cols>
          <w:pgMar w:left="320" w:top="144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17" w:lineRule="exact"/>
        <w:rPr>
          <w:sz w:val="20"/>
          <w:szCs w:val="20"/>
          <w:color w:val="auto"/>
        </w:rPr>
      </w:pPr>
    </w:p>
    <w:p>
      <w:pPr>
        <w:jc w:val="both"/>
        <w:ind w:right="380"/>
        <w:spacing w:after="0" w:line="269"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September 30, 2023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70" w:lineRule="exact"/>
        <w:rPr>
          <w:sz w:val="20"/>
          <w:szCs w:val="20"/>
          <w:color w:val="auto"/>
        </w:rPr>
      </w:pPr>
    </w:p>
    <w:p>
      <w:pPr>
        <w:ind w:left="720" w:hanging="226"/>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126" w:lineRule="exact"/>
        <w:rPr>
          <w:rFonts w:ascii="Arial" w:cs="Arial" w:eastAsia="Arial" w:hAnsi="Arial"/>
          <w:sz w:val="16"/>
          <w:szCs w:val="16"/>
          <w:color w:val="auto"/>
        </w:rPr>
      </w:pPr>
    </w:p>
    <w:p>
      <w:pPr>
        <w:ind w:left="60" w:right="1120" w:firstLine="434"/>
        <w:spacing w:after="0" w:line="328" w:lineRule="auto"/>
        <w:tabs>
          <w:tab w:leader="none" w:pos="71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Dated: October 31, 2023</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0429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Brian O. Casey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Executive Officer</w:t>
      </w:r>
    </w:p>
    <w:p>
      <w:pPr>
        <w:spacing w:after="0" w:line="329" w:lineRule="exact"/>
        <w:rPr>
          <w:sz w:val="20"/>
          <w:szCs w:val="20"/>
          <w:color w:val="auto"/>
        </w:rPr>
      </w:pPr>
    </w:p>
    <w:p>
      <w:pPr>
        <w:ind w:right="20" w:firstLine="486"/>
        <w:spacing w:after="0" w:line="269"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422"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17"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September 30, 2023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70" w:lineRule="exact"/>
        <w:rPr>
          <w:sz w:val="20"/>
          <w:szCs w:val="20"/>
          <w:color w:val="auto"/>
        </w:rPr>
      </w:pPr>
    </w:p>
    <w:p>
      <w:pPr>
        <w:ind w:left="720" w:hanging="226"/>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 or 78o(d)); and</w:t>
      </w:r>
    </w:p>
    <w:p>
      <w:pPr>
        <w:spacing w:after="0" w:line="126" w:lineRule="exact"/>
        <w:rPr>
          <w:rFonts w:ascii="Arial" w:cs="Arial" w:eastAsia="Arial" w:hAnsi="Arial"/>
          <w:sz w:val="16"/>
          <w:szCs w:val="16"/>
          <w:color w:val="auto"/>
        </w:rPr>
      </w:pPr>
    </w:p>
    <w:p>
      <w:pPr>
        <w:ind w:left="60" w:right="1120" w:firstLine="434"/>
        <w:spacing w:after="0" w:line="328" w:lineRule="auto"/>
        <w:tabs>
          <w:tab w:leader="none" w:pos="71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Dated: October 31, 2023</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0429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Murray Forbes III</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Financial Officer and Treasurer</w:t>
      </w:r>
    </w:p>
    <w:p>
      <w:pPr>
        <w:spacing w:after="0" w:line="329" w:lineRule="exact"/>
        <w:rPr>
          <w:sz w:val="20"/>
          <w:szCs w:val="20"/>
          <w:color w:val="auto"/>
        </w:rPr>
      </w:pPr>
    </w:p>
    <w:p>
      <w:pPr>
        <w:ind w:right="20" w:firstLine="486"/>
        <w:spacing w:after="0" w:line="269"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0"/>
    </w:lvl>
  </w:abstractNum>
  <w:abstractNum w:abstractNumId="8">
    <w:nsid w:val="DED7263"/>
    <w:multiLevelType w:val="hybridMultilevel"/>
    <w:lvl w:ilvl="0">
      <w:lvlJc w:val="left"/>
      <w:lvlText w:val="1"/>
      <w:numFmt w:val="bullet"/>
      <w:start w:val="1"/>
    </w:lvl>
  </w:abstractNum>
  <w:abstractNum w:abstractNumId="9">
    <w:nsid w:val="7FDCC233"/>
    <w:multiLevelType w:val="hybridMultilevel"/>
    <w:lvl w:ilvl="0">
      <w:lvlJc w:val="left"/>
      <w:lvlText w:val="2"/>
      <w:numFmt w:val="bullet"/>
      <w:start w:val="1"/>
    </w:lvl>
  </w:abstractNum>
  <w:abstractNum w:abstractNumId="10">
    <w:nsid w:val="1BEFD79F"/>
    <w:multiLevelType w:val="hybridMultilevel"/>
    <w:lvl w:ilvl="0">
      <w:lvlJc w:val="left"/>
      <w:lvlText w:val="%1."/>
      <w:numFmt w:val="decimal"/>
      <w:start w:val="12"/>
    </w:lvl>
  </w:abstractNum>
  <w:abstractNum w:abstractNumId="11">
    <w:nsid w:val="41A7C4C9"/>
    <w:multiLevelType w:val="hybridMultilevel"/>
    <w:lvl w:ilvl="0">
      <w:lvlJc w:val="left"/>
      <w:lvlText w:val="%1."/>
      <w:numFmt w:val="decimal"/>
      <w:start w:val="15"/>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2023-10-31T15:28:55Z</dcterms:created>
  <dcterms:modified xsi:type="dcterms:W3CDTF">2023-10-31T15:28:55Z</dcterms:modified>
</cp:coreProperties>
</file>